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459" w:rsidRDefault="00AF7459" w:rsidP="00AF7459">
      <w:pPr>
        <w:pStyle w:val="bpuBill"/>
      </w:pPr>
      <w:bookmarkStart w:id="0" w:name="bpuFrontPg"/>
      <w:bookmarkStart w:id="1" w:name="_GoBack"/>
      <w:bookmarkEnd w:id="0"/>
      <w:bookmarkEnd w:id="1"/>
      <w:r>
        <w:t xml:space="preserve">ASSEMBLY, No. 3469 </w:t>
      </w:r>
    </w:p>
    <w:p w:rsidR="00AF7459" w:rsidRPr="009D38FF" w:rsidRDefault="00AF7459" w:rsidP="00AF74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189" r:id="rId7"/>
        </w:object>
      </w:r>
    </w:p>
    <w:p w:rsidR="00AF7459" w:rsidRDefault="00AF7459" w:rsidP="00AF7459">
      <w:pPr>
        <w:pStyle w:val="bpuState"/>
      </w:pPr>
      <w:r>
        <w:t>STATE OF NEW JERSEY</w:t>
      </w:r>
    </w:p>
    <w:p w:rsidR="00AF7459" w:rsidRDefault="00AF7459" w:rsidP="00AF7459">
      <w:pPr>
        <w:pStyle w:val="bpuLegislature"/>
      </w:pPr>
      <w:r>
        <w:t>219th LEGISLATURE</w:t>
      </w:r>
    </w:p>
    <w:p w:rsidR="00AF7459" w:rsidRDefault="00AF7459" w:rsidP="00AF7459">
      <w:pPr>
        <w:pStyle w:val="bpuWpGraphic"/>
      </w:pPr>
      <w:r>
        <w:object w:dxaOrig="8985" w:dyaOrig="255">
          <v:shape id="_x0000_i1026" type="#_x0000_t75" style="width:6in;height:12pt" o:ole="">
            <v:imagedata r:id="rId6" o:title=""/>
          </v:shape>
          <o:OLEObject Type="Embed" ProgID="WPWin6.1" ShapeID="_x0000_i1026" DrawAspect="Content" ObjectID="_1644212190" r:id="rId8"/>
        </w:object>
      </w:r>
      <w:r>
        <w:t xml:space="preserve">  </w:t>
      </w:r>
    </w:p>
    <w:p w:rsidR="00AF7459" w:rsidRDefault="00AF7459" w:rsidP="00AF7459">
      <w:pPr>
        <w:pStyle w:val="bpuIntro"/>
      </w:pPr>
      <w:r>
        <w:t>INTRODUCED FEBRUARY 25, 2020</w:t>
      </w:r>
    </w:p>
    <w:p w:rsidR="00AF7459" w:rsidRDefault="00AF7459" w:rsidP="00AF7459">
      <w:pPr>
        <w:pStyle w:val="bpuIntro"/>
      </w:pPr>
    </w:p>
    <w:p w:rsidR="00AF7459" w:rsidRDefault="00AF7459" w:rsidP="00AF7459">
      <w:pPr>
        <w:pStyle w:val="bpuIntro"/>
        <w:sectPr w:rsidR="00AF7459" w:rsidSect="00AF7459">
          <w:headerReference w:type="even" r:id="rId9"/>
          <w:headerReference w:type="default" r:id="rId10"/>
          <w:pgSz w:w="12240" w:h="20160" w:code="5"/>
          <w:pgMar w:top="2160" w:right="1440" w:bottom="1440" w:left="1440" w:header="72" w:footer="720" w:gutter="0"/>
          <w:pgNumType w:start="1"/>
          <w:cols w:space="720"/>
          <w:docGrid w:linePitch="360"/>
        </w:sectPr>
      </w:pPr>
    </w:p>
    <w:p w:rsidR="00AF7459" w:rsidRDefault="00AF7459" w:rsidP="00AF7459">
      <w:pPr>
        <w:pStyle w:val="bpuIntro"/>
      </w:pPr>
    </w:p>
    <w:p w:rsidR="00AF7459" w:rsidRDefault="00AF7459" w:rsidP="00AF7459">
      <w:pPr>
        <w:pStyle w:val="bpuSponsor"/>
      </w:pPr>
      <w:r>
        <w:t>Sponsored by:</w:t>
      </w:r>
    </w:p>
    <w:p w:rsidR="00AF7459" w:rsidRDefault="00AF7459" w:rsidP="00AF7459">
      <w:pPr>
        <w:pStyle w:val="bpuSponsor"/>
      </w:pPr>
      <w:r>
        <w:t>Assemblywoman  VALERIE VAINIERI HUTTLE</w:t>
      </w:r>
    </w:p>
    <w:p w:rsidR="00AF7459" w:rsidRDefault="00AF7459" w:rsidP="00AF7459">
      <w:pPr>
        <w:pStyle w:val="bpuSponsor"/>
      </w:pPr>
      <w:r>
        <w:t>District 37 (Bergen)</w:t>
      </w:r>
    </w:p>
    <w:p w:rsidR="00AF7459" w:rsidRDefault="00AF7459" w:rsidP="00AF7459">
      <w:pPr>
        <w:pStyle w:val="bpuSponsor"/>
      </w:pPr>
    </w:p>
    <w:p w:rsidR="00AF7459" w:rsidRDefault="00AF7459" w:rsidP="00AF7459">
      <w:pPr>
        <w:pStyle w:val="bpuSponsor"/>
      </w:pPr>
    </w:p>
    <w:p w:rsidR="00AF7459" w:rsidRDefault="00AF7459" w:rsidP="00AF7459">
      <w:pPr>
        <w:pStyle w:val="bpuSponsor"/>
      </w:pPr>
    </w:p>
    <w:p w:rsidR="00AF7459" w:rsidRDefault="00AF7459" w:rsidP="00AF7459">
      <w:pPr>
        <w:pStyle w:val="bpuSponsor"/>
      </w:pPr>
    </w:p>
    <w:p w:rsidR="00AF7459" w:rsidRDefault="00AF7459" w:rsidP="00AF7459">
      <w:pPr>
        <w:pStyle w:val="bpuSponsor"/>
      </w:pPr>
      <w:r>
        <w:t>SYNOPSIS</w:t>
      </w:r>
    </w:p>
    <w:p w:rsidR="00AF7459" w:rsidRDefault="00AF7459" w:rsidP="00AF7459">
      <w:pPr>
        <w:pStyle w:val="bpuNormText"/>
      </w:pPr>
      <w:r>
        <w:tab/>
        <w:t xml:space="preserve">Requires funds collected through societal benefits charge not allocated be credited to electric and gas public utility customers. </w:t>
      </w:r>
    </w:p>
    <w:p w:rsidR="00AF7459" w:rsidRDefault="00AF7459" w:rsidP="00AF7459">
      <w:pPr>
        <w:pStyle w:val="bpuNormText"/>
      </w:pPr>
    </w:p>
    <w:p w:rsidR="00AF7459" w:rsidRDefault="00AF7459" w:rsidP="00AF7459">
      <w:pPr>
        <w:pStyle w:val="bpuSponsor"/>
      </w:pPr>
      <w:r>
        <w:t xml:space="preserve">CURRENT VERSION OF TEXT </w:t>
      </w:r>
    </w:p>
    <w:p w:rsidR="00AF7459" w:rsidRDefault="00AF7459" w:rsidP="00AF7459">
      <w:pPr>
        <w:pStyle w:val="bpuNormText"/>
      </w:pPr>
      <w:r>
        <w:tab/>
        <w:t>As introduced.</w:t>
      </w:r>
    </w:p>
    <w:p w:rsidR="00AF7459" w:rsidRDefault="00AF7459" w:rsidP="00AF74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7459" w:rsidRDefault="00AF7459" w:rsidP="008916EC">
      <w:pPr>
        <w:pStyle w:val="FronterPage"/>
        <w:tabs>
          <w:tab w:val="clear" w:pos="720"/>
          <w:tab w:val="clear" w:pos="1440"/>
          <w:tab w:val="clear" w:pos="2160"/>
          <w:tab w:val="clear" w:pos="2880"/>
          <w:tab w:val="clear" w:pos="3600"/>
          <w:tab w:val="clear" w:pos="4320"/>
          <w:tab w:val="clear" w:pos="5040"/>
        </w:tabs>
        <w:sectPr w:rsidR="00AF7459" w:rsidSect="00AF7459">
          <w:type w:val="continuous"/>
          <w:pgSz w:w="12240" w:h="20160" w:code="5"/>
          <w:pgMar w:top="1440" w:right="2275" w:bottom="1440" w:left="2275" w:header="72" w:footer="720" w:gutter="0"/>
          <w:pgNumType w:start="1"/>
          <w:cols w:space="720"/>
          <w:docGrid w:linePitch="360"/>
        </w:sectPr>
      </w:pPr>
    </w:p>
    <w:p w:rsidR="00173967" w:rsidRDefault="00173967" w:rsidP="00173967">
      <w:pPr>
        <w:pStyle w:val="HangingAnAct"/>
        <w:rPr>
          <w:rStyle w:val="HangingAnActChar"/>
        </w:rPr>
      </w:pPr>
      <w:r w:rsidRPr="00173967">
        <w:rPr>
          <w:rStyle w:val="BillHead"/>
        </w:rPr>
        <w:lastRenderedPageBreak/>
        <w:t>An Act</w:t>
      </w:r>
      <w:r>
        <w:rPr>
          <w:rStyle w:val="HangingAnActChar"/>
        </w:rPr>
        <w:t xml:space="preserve"> concerning allocation of societal benefits charge funds and amending P.L.1999, c.23.</w:t>
      </w:r>
    </w:p>
    <w:p w:rsidR="00173967" w:rsidRDefault="00173967" w:rsidP="00173967"/>
    <w:p w:rsidR="00173967" w:rsidRDefault="00173967" w:rsidP="0017396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73967" w:rsidRDefault="00173967" w:rsidP="00173967"/>
    <w:p w:rsidR="00173967" w:rsidRDefault="00173967" w:rsidP="00173967">
      <w:r>
        <w:tab/>
        <w:t>1.</w:t>
      </w:r>
      <w:r>
        <w:tab/>
        <w:t>Section 12 of P.L.1999, c.23 (C.48:3-60) is amended to read as follows:</w:t>
      </w:r>
    </w:p>
    <w:p w:rsidR="00173967" w:rsidRDefault="00173967" w:rsidP="00173967">
      <w:r>
        <w:tab/>
        <w:t>12.</w:t>
      </w:r>
      <w:r>
        <w:tab/>
        <w:t xml:space="preserve">a. Simultaneously with the starting date for the implementation of retail choice as determined by the board pursuant to subsection a. of section 5 of </w:t>
      </w:r>
      <w:r>
        <w:rPr>
          <w:rFonts w:ascii="Albertus Extra Bold" w:hAnsi="Albertus Extra Bold"/>
          <w:b/>
        </w:rPr>
        <w:t>[</w:t>
      </w:r>
      <w:r>
        <w:t>this act</w:t>
      </w:r>
      <w:r>
        <w:rPr>
          <w:rFonts w:ascii="Albertus Extra Bold" w:hAnsi="Albertus Extra Bold"/>
          <w:b/>
        </w:rPr>
        <w:t>]</w:t>
      </w:r>
      <w:r>
        <w:t xml:space="preserve"> </w:t>
      </w:r>
      <w:r>
        <w:rPr>
          <w:u w:val="single"/>
        </w:rPr>
        <w:t>P.L.1999, c.23 (C.48:3-53)</w:t>
      </w:r>
      <w:r>
        <w: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173967" w:rsidRDefault="00173967" w:rsidP="00173967">
      <w:r>
        <w:tab/>
        <w:t>(1)</w:t>
      </w:r>
      <w:r>
        <w:tab/>
        <w:t xml:space="preserve">The costs for the social programs for which rate recovery was approved by the board prior to </w:t>
      </w:r>
      <w:smartTag w:uri="urn:schemas-microsoft-com:office:smarttags" w:element="date">
        <w:smartTagPr>
          <w:attr w:name="Month" w:val="4"/>
          <w:attr w:name="Day" w:val="30"/>
          <w:attr w:name="Year" w:val="1997"/>
        </w:smartTagPr>
        <w:r>
          <w:t>April 30, 1997</w:t>
        </w:r>
      </w:smartTag>
      <w:r>
        <w:t xml:space="preserve">.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The board may subsequently order, pursuant to its rules and regulations, an increase or decrease in the societal benefits charge to reflect changes in the costs to the utility of administering existing social programs.  Nothing in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shall be construed to abolish or change any social program required by statute or board order or rule or regulation to be provided by an electric public utility.  Any such social program shall continue to be provided by the </w:t>
      </w:r>
      <w:r>
        <w:rPr>
          <w:u w:val="single"/>
        </w:rPr>
        <w:t>electric public</w:t>
      </w:r>
      <w:r>
        <w:t xml:space="preserve"> utility until otherwise provided by law, unless the board determines that it is no longer appropriate for the electric public utility to provide the program, or the board chooses to modify the program; </w:t>
      </w:r>
    </w:p>
    <w:p w:rsidR="00173967" w:rsidRDefault="00173967" w:rsidP="00173967">
      <w:r>
        <w:tab/>
        <w:t>(2)</w:t>
      </w:r>
      <w:r>
        <w:tab/>
        <w:t xml:space="preserve">Nuclear plant decommissioning costs; </w:t>
      </w:r>
    </w:p>
    <w:p w:rsidR="00173967" w:rsidRDefault="00173967" w:rsidP="00173967">
      <w:r>
        <w:tab/>
        <w:t>(3)</w:t>
      </w:r>
      <w:r>
        <w:tab/>
        <w:t xml:space="preserve">The costs of demand side management programs that were approved by the board pursuant to its demand side management regulations prior to </w:t>
      </w:r>
      <w:smartTag w:uri="urn:schemas-microsoft-com:office:smarttags" w:element="date">
        <w:smartTagPr>
          <w:attr w:name="Month" w:val="4"/>
          <w:attr w:name="Day" w:val="30"/>
          <w:attr w:name="Year" w:val="1997"/>
        </w:smartTagPr>
        <w:r>
          <w:t>April 30, 1997</w:t>
        </w:r>
      </w:smartTag>
      <w:r>
        <w:t xml:space="preserve">.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Within four months of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provided that the funding for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be no less than </w:t>
      </w:r>
      <w:r>
        <w:rPr>
          <w:rFonts w:ascii="Albertus Extra Bold" w:hAnsi="Albertus Extra Bold"/>
          <w:b/>
        </w:rPr>
        <w:t>[</w:t>
      </w:r>
      <w:r>
        <w:t>50%</w:t>
      </w:r>
      <w:r>
        <w:rPr>
          <w:rFonts w:ascii="Albertus Extra Bold" w:hAnsi="Albertus Extra Bold"/>
          <w:b/>
        </w:rPr>
        <w:t>]</w:t>
      </w:r>
      <w:r>
        <w:t xml:space="preserve"> </w:t>
      </w:r>
      <w:r>
        <w:rPr>
          <w:u w:val="single"/>
        </w:rPr>
        <w:t>50 percent</w:t>
      </w:r>
      <w:r>
        <w:t xml:space="preserve">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for an initial period of four years from the issuance of the first comprehensive resource analysis following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and provided that </w:t>
      </w:r>
      <w:r>
        <w:rPr>
          <w:rFonts w:ascii="Albertus Extra Bold" w:hAnsi="Albertus Extra Bold"/>
          <w:b/>
        </w:rPr>
        <w:t>[</w:t>
      </w:r>
      <w:r>
        <w:t>25%</w:t>
      </w:r>
      <w:r>
        <w:rPr>
          <w:rFonts w:ascii="Albertus Extra Bold" w:hAnsi="Albertus Extra Bold"/>
          <w:b/>
        </w:rPr>
        <w:t>]</w:t>
      </w:r>
      <w:r>
        <w:t xml:space="preserve"> </w:t>
      </w:r>
      <w:r>
        <w:rPr>
          <w:u w:val="single"/>
        </w:rPr>
        <w:t>25 percent</w:t>
      </w:r>
      <w:r>
        <w:t xml:space="preserve"> of this amount shall be used to provide funding for Class I renewable energy projects in the State.  In each of the following fifth through eighth years, the Statewide funding for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shall be no less than 50 percent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rStyle w:val="HangingAnActChar"/>
          <w:u w:val="single"/>
        </w:rPr>
        <w:t>P.L.1999, c.23 (C.48:3-49 et al.)</w:t>
      </w:r>
      <w:r>
        <w:t xml:space="preserve">, except that as additional funds are made available as a result of the expiration of past standard offer or similar commitments, the minimum amount of funding for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shall increase by an additional amount equal to 50 percent of the additional funds made available, until the minimum amount of funding dedicated to </w:t>
      </w:r>
      <w:r>
        <w:rPr>
          <w:rFonts w:ascii="Albertus Extra Bold" w:hAnsi="Albertus Extra Bold"/>
          <w:b/>
        </w:rPr>
        <w:t>[</w:t>
      </w:r>
      <w:r>
        <w:t>such</w:t>
      </w:r>
      <w:r>
        <w:rPr>
          <w:rFonts w:ascii="Albertus Extra Bold" w:hAnsi="Albertus Extra Bold"/>
          <w:b/>
        </w:rPr>
        <w:t>]</w:t>
      </w:r>
      <w:r>
        <w:t xml:space="preserve"> </w:t>
      </w:r>
      <w:r>
        <w:rPr>
          <w:u w:val="single"/>
        </w:rPr>
        <w:t>demand side management</w:t>
      </w:r>
      <w:r>
        <w:t xml:space="preserve"> programs reaches $140,000,000 total.  After the eighth year</w:t>
      </w:r>
      <w:r>
        <w:rPr>
          <w:u w:val="single"/>
        </w:rPr>
        <w:t>,</w:t>
      </w:r>
      <w:r>
        <w:t xml:space="preserve"> the board shall make a determination as to the appropriate level of funding for these programs.  </w:t>
      </w:r>
      <w:r>
        <w:rPr>
          <w:rFonts w:ascii="Albertus Extra Bold" w:hAnsi="Albertus Extra Bold"/>
          <w:b/>
        </w:rPr>
        <w:t>[</w:t>
      </w:r>
      <w:r>
        <w:t>Such</w:t>
      </w:r>
      <w:r>
        <w:rPr>
          <w:rFonts w:ascii="Albertus Extra Bold" w:hAnsi="Albertus Extra Bold"/>
          <w:b/>
        </w:rPr>
        <w:t>]</w:t>
      </w:r>
      <w:r>
        <w:t xml:space="preserve"> </w:t>
      </w:r>
      <w:r>
        <w:rPr>
          <w:u w:val="single"/>
        </w:rPr>
        <w:t>The demand side management</w:t>
      </w:r>
      <w:r>
        <w:t xml:space="preserve"> programs shall include a program to provide financial incentives for the installation of Class I renewable energy projects in the State, and the board, in consultation with the Department of Environmental Protection, shall determine the level and total amount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incentives as well as the renewable technologies eligible for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173967" w:rsidRDefault="00173967" w:rsidP="00173967">
      <w:r>
        <w:tab/>
        <w:t>(4)</w:t>
      </w:r>
      <w:r>
        <w:tab/>
        <w:t>Manufactured gas plant remediation costs, which shall be determined initially in a manner consistent with mechanisms in the remediation adjustment clauses for the electric public utility and gas public utility adopted by the board; and</w:t>
      </w:r>
    </w:p>
    <w:p w:rsidR="00173967" w:rsidRDefault="00173967" w:rsidP="00173967">
      <w:pPr>
        <w:rPr>
          <w:u w:val="single"/>
        </w:rPr>
      </w:pPr>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w:t>
      </w:r>
      <w:r>
        <w:t>.</w:t>
      </w:r>
    </w:p>
    <w:p w:rsidR="00173967" w:rsidRDefault="00173967" w:rsidP="00173967">
      <w:r>
        <w:tab/>
      </w:r>
      <w:r>
        <w:rPr>
          <w:u w:val="single"/>
        </w:rPr>
        <w:t>On and after the date of enactment of P.L.    , c.    (C.        ) (pending before the Legislature as this bill), all funds imposed and collected pursuant to this subsection which, as of the commencement of each State fiscal year, have not been allocated to the electric public utilities and gas public utilities to recover costs, as provided under this subsection, shall be appropriated to the electric public utilities and gas public utilities for the purpose of providing a credit to electric public utility customers and gas public utility customers in a manner to be determined by board regulation.  Each customer shall be awarded a pro-rata share of the funds through a credit on the electric or gas public utility bill of a customer within 120 days after the date of the appropriation.  A customer that is a customer of a single public utility providing both electric service and gas service to that customer shall receive a pro rata share of the credit in connection with each service.</w:t>
      </w:r>
    </w:p>
    <w:p w:rsidR="00173967" w:rsidRDefault="00173967" w:rsidP="00173967">
      <w:r>
        <w:tab/>
        <w:t>b.</w:t>
      </w:r>
      <w:r>
        <w:tab/>
        <w:t xml:space="preserve">There is established in the </w:t>
      </w:r>
      <w:r>
        <w:rPr>
          <w:rFonts w:ascii="Albertus Extra Bold" w:hAnsi="Albertus Extra Bold"/>
          <w:b/>
        </w:rPr>
        <w:t>[</w:t>
      </w:r>
      <w:r>
        <w:t>Board of Public Utilities</w:t>
      </w:r>
      <w:r>
        <w:rPr>
          <w:rFonts w:ascii="Albertus Extra Bold" w:hAnsi="Albertus Extra Bold"/>
          <w:b/>
        </w:rPr>
        <w:t>]</w:t>
      </w:r>
      <w:r>
        <w:t xml:space="preserve"> </w:t>
      </w:r>
      <w:r>
        <w:rPr>
          <w:u w:val="single"/>
        </w:rPr>
        <w:t>board</w:t>
      </w:r>
      <w:r>
        <w:t xml:space="preserve">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w:t>
      </w:r>
      <w:r>
        <w:rPr>
          <w:rFonts w:ascii="Albertus Extra Bold" w:hAnsi="Albertus Extra Bold"/>
          <w:b/>
        </w:rPr>
        <w:t>[</w:t>
      </w:r>
      <w:r>
        <w:t>electricity</w:t>
      </w:r>
      <w:r>
        <w:rPr>
          <w:rFonts w:ascii="Albertus Extra Bold" w:hAnsi="Albertus Extra Bold"/>
          <w:b/>
        </w:rPr>
        <w:t>]</w:t>
      </w:r>
      <w:r>
        <w:t xml:space="preserve"> </w:t>
      </w:r>
      <w:r>
        <w:rPr>
          <w:u w:val="single"/>
        </w:rPr>
        <w:t>electric</w:t>
      </w:r>
      <w:r>
        <w:t xml:space="preserve"> and </w:t>
      </w:r>
      <w:r>
        <w:rPr>
          <w:rFonts w:ascii="Albertus Extra Bold" w:hAnsi="Albertus Extra Bold"/>
          <w:b/>
        </w:rPr>
        <w:t>[</w:t>
      </w:r>
      <w:r>
        <w:t>natural</w:t>
      </w:r>
      <w:r>
        <w:rPr>
          <w:rFonts w:ascii="Albertus Extra Bold" w:hAnsi="Albertus Extra Bold"/>
          <w:b/>
        </w:rPr>
        <w:t>]</w:t>
      </w:r>
      <w:r>
        <w:t xml:space="preserve"> gas </w:t>
      </w:r>
      <w:r>
        <w:rPr>
          <w:u w:val="single"/>
        </w:rPr>
        <w:t>public utility</w:t>
      </w:r>
      <w:r>
        <w:t xml:space="preserve"> bills should be deposited in the fund; and whether new charges should be imposed to fund new or expanded social programs.</w:t>
      </w:r>
    </w:p>
    <w:p w:rsidR="00173967" w:rsidRDefault="00173967" w:rsidP="00173967">
      <w:r>
        <w:t>(</w:t>
      </w:r>
      <w:proofErr w:type="spellStart"/>
      <w:r>
        <w:t>cf</w:t>
      </w:r>
      <w:proofErr w:type="spellEnd"/>
      <w:r>
        <w:t>: P.L.1999, c.23, s.12)</w:t>
      </w:r>
    </w:p>
    <w:p w:rsidR="00173967" w:rsidRDefault="00173967" w:rsidP="00173967"/>
    <w:p w:rsidR="00173967" w:rsidRDefault="00173967" w:rsidP="00173967">
      <w:r>
        <w:tab/>
        <w:t>2.</w:t>
      </w:r>
      <w:r>
        <w:tab/>
        <w:t>This act shall take effect immediately.</w:t>
      </w:r>
    </w:p>
    <w:p w:rsidR="00173967" w:rsidRDefault="00173967" w:rsidP="00173967">
      <w:pPr>
        <w:jc w:val="center"/>
      </w:pPr>
    </w:p>
    <w:p w:rsidR="00173967" w:rsidRDefault="00173967" w:rsidP="00173967">
      <w:pPr>
        <w:jc w:val="center"/>
      </w:pPr>
    </w:p>
    <w:p w:rsidR="00173967" w:rsidRDefault="00173967" w:rsidP="00173967">
      <w:pPr>
        <w:jc w:val="center"/>
      </w:pPr>
      <w:r>
        <w:t>STATEMENT</w:t>
      </w:r>
    </w:p>
    <w:p w:rsidR="00173967" w:rsidRDefault="00173967" w:rsidP="00173967"/>
    <w:p w:rsidR="00173967" w:rsidRDefault="00173967">
      <w:r>
        <w:tab/>
        <w:t>This bill provides that all funds collected in relation to the societal benefits charge (SBC) which, as of the commencement of each State fiscal year, have not been allocated to the electric and gas public utilities and, to recover costs associated with the SBC, are to be appropriated to the electric and gas public utilities for the purpose of providing a credit to electric and gas public utility customers in a manner to be determined by board regulation.  Each customer is to be awarded a pro-rata share of the funds through a credit on that customer’s electric or gas utility bill, as appropriate.</w:t>
      </w:r>
    </w:p>
    <w:sectPr w:rsidR="00173967" w:rsidSect="00AF74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1AD" w:rsidRDefault="009931AD">
      <w:r>
        <w:separator/>
      </w:r>
    </w:p>
  </w:endnote>
  <w:endnote w:type="continuationSeparator" w:id="0">
    <w:p w:rsidR="009931AD" w:rsidRDefault="00993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829" w:rsidRPr="00921C91" w:rsidRDefault="009178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7829" w:rsidRPr="00921C91" w:rsidRDefault="00917829">
    <w:pPr>
      <w:pStyle w:val="Footer"/>
      <w:rPr>
        <w:szCs w:val="18"/>
      </w:rPr>
    </w:pPr>
  </w:p>
  <w:p w:rsidR="00917829" w:rsidRPr="00921C91" w:rsidRDefault="009178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7829" w:rsidRDefault="00917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1AD" w:rsidRDefault="009931AD">
      <w:r>
        <w:separator/>
      </w:r>
    </w:p>
  </w:footnote>
  <w:footnote w:type="continuationSeparator" w:id="0">
    <w:p w:rsidR="009931AD" w:rsidRDefault="00993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50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7459" w:rsidRDefault="00AF7459" w:rsidP="00AF7459">
    <w:pPr>
      <w:pStyle w:val="bpuHeadSpon"/>
    </w:pPr>
    <w:r w:rsidRPr="00AF7459">
      <w:rPr>
        <w:rStyle w:val="bpuHeadSponChar"/>
      </w:rPr>
      <w:t>A3469</w:t>
    </w:r>
    <w:r>
      <w:t xml:space="preserve"> VAINIERI HUTTLE</w:t>
    </w:r>
  </w:p>
  <w:p w:rsidR="00AF7459" w:rsidRDefault="00AF7459" w:rsidP="00AF7459">
    <w:pPr>
      <w:pStyle w:val="bpuHeadSpon"/>
    </w:pPr>
    <w:r>
      <w:fldChar w:fldCharType="begin"/>
    </w:r>
    <w:r>
      <w:instrText xml:space="preserve"> PAGE  \* MERGEFORMAT </w:instrText>
    </w:r>
    <w:r>
      <w:fldChar w:fldCharType="separate"/>
    </w:r>
    <w:r w:rsidR="004350B7">
      <w:rPr>
        <w:noProof/>
      </w:rPr>
      <w:t>5</w:t>
    </w:r>
    <w:r>
      <w:fldChar w:fldCharType="end"/>
    </w:r>
  </w:p>
  <w:p w:rsidR="00AF7459" w:rsidRDefault="00AF7459" w:rsidP="00AF74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7459" w:rsidRDefault="00AF7459" w:rsidP="00AF7459">
    <w:pPr>
      <w:pStyle w:val="bpuHeadSpon"/>
    </w:pPr>
    <w:r w:rsidRPr="00AF7459">
      <w:rPr>
        <w:rStyle w:val="bpuHeadSponChar"/>
      </w:rPr>
      <w:t>A3469</w:t>
    </w:r>
    <w:r>
      <w:t xml:space="preserve"> VAINIERI HUTTLE</w:t>
    </w:r>
  </w:p>
  <w:p w:rsidR="00AF7459" w:rsidRDefault="00AF7459" w:rsidP="00AF7459">
    <w:pPr>
      <w:pStyle w:val="bpuHeadSpon"/>
    </w:pPr>
    <w:r>
      <w:fldChar w:fldCharType="begin"/>
    </w:r>
    <w:r>
      <w:instrText xml:space="preserve"> PAGE  \* MERGEFORMAT </w:instrText>
    </w:r>
    <w:r>
      <w:fldChar w:fldCharType="separate"/>
    </w:r>
    <w:r w:rsidR="004350B7">
      <w:rPr>
        <w:noProof/>
      </w:rPr>
      <w:t>2</w:t>
    </w:r>
    <w:r>
      <w:fldChar w:fldCharType="end"/>
    </w:r>
  </w:p>
  <w:p w:rsidR="00AF7459" w:rsidRDefault="00AF7459" w:rsidP="00AF74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1AD"/>
    <w:rsid w:val="000051BD"/>
    <w:rsid w:val="000160A5"/>
    <w:rsid w:val="0002335B"/>
    <w:rsid w:val="0003549A"/>
    <w:rsid w:val="000367AE"/>
    <w:rsid w:val="00043B22"/>
    <w:rsid w:val="00054975"/>
    <w:rsid w:val="00057D20"/>
    <w:rsid w:val="0006197C"/>
    <w:rsid w:val="0006281F"/>
    <w:rsid w:val="0008141C"/>
    <w:rsid w:val="00094A55"/>
    <w:rsid w:val="000A17C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96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1C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0B7"/>
    <w:rsid w:val="00436F2D"/>
    <w:rsid w:val="00436F5D"/>
    <w:rsid w:val="00441B42"/>
    <w:rsid w:val="0045118A"/>
    <w:rsid w:val="00455D51"/>
    <w:rsid w:val="00456BF9"/>
    <w:rsid w:val="00461057"/>
    <w:rsid w:val="00465AEC"/>
    <w:rsid w:val="004704A8"/>
    <w:rsid w:val="00471102"/>
    <w:rsid w:val="00471F18"/>
    <w:rsid w:val="00484144"/>
    <w:rsid w:val="00484C19"/>
    <w:rsid w:val="00485866"/>
    <w:rsid w:val="00492076"/>
    <w:rsid w:val="00493B1D"/>
    <w:rsid w:val="00497037"/>
    <w:rsid w:val="004A3009"/>
    <w:rsid w:val="004A6940"/>
    <w:rsid w:val="004A77A4"/>
    <w:rsid w:val="004C742C"/>
    <w:rsid w:val="004E038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1C3"/>
    <w:rsid w:val="005C336F"/>
    <w:rsid w:val="005C7F3C"/>
    <w:rsid w:val="005E017C"/>
    <w:rsid w:val="005E50C6"/>
    <w:rsid w:val="005F2A97"/>
    <w:rsid w:val="005F399B"/>
    <w:rsid w:val="006019F8"/>
    <w:rsid w:val="00605B20"/>
    <w:rsid w:val="0061156F"/>
    <w:rsid w:val="00613FF5"/>
    <w:rsid w:val="006144A5"/>
    <w:rsid w:val="006155A8"/>
    <w:rsid w:val="00621B94"/>
    <w:rsid w:val="00626239"/>
    <w:rsid w:val="00635316"/>
    <w:rsid w:val="00635449"/>
    <w:rsid w:val="006378C5"/>
    <w:rsid w:val="00645E6A"/>
    <w:rsid w:val="00665CBC"/>
    <w:rsid w:val="00667A5C"/>
    <w:rsid w:val="00677316"/>
    <w:rsid w:val="0067754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829"/>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1A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45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C1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3248AC8-34AD-4A54-83AA-880534EE2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7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1580</Words>
  <Characters>8385</Characters>
  <Application>Microsoft Office Word</Application>
  <DocSecurity>0</DocSecurity>
  <Lines>184</Lines>
  <Paragraphs>26</Paragraphs>
  <ScaleCrop>false</ScaleCrop>
  <HeadingPairs>
    <vt:vector size="2" baseType="variant">
      <vt:variant>
        <vt:lpstr>Title</vt:lpstr>
      </vt:variant>
      <vt:variant>
        <vt:i4>1</vt:i4>
      </vt:variant>
    </vt:vector>
  </HeadingPairs>
  <TitlesOfParts>
    <vt:vector size="1" baseType="lpstr">
      <vt:lpstr>A3469</vt:lpstr>
    </vt:vector>
  </TitlesOfParts>
  <Manager>R56</Manager>
  <Company>NJ Office of Legislative Services</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A3469</dc:title>
  <dc:subject/>
  <dc:creator>Assemblywoman  VAINIERI HUTTLE</dc:creator>
  <cp:keywords>A3469|5|AU |147|0|147|F|0|</cp:keywords>
  <dc:description>INTRODUCED FEBRUARY 25, 2020</dc:description>
  <cp:lastModifiedBy>Todaro, Vivian</cp:lastModifiedBy>
  <cp:revision>2</cp:revision>
  <cp:lastPrinted>2020-02-25T20:04:00Z</cp:lastPrinted>
  <dcterms:created xsi:type="dcterms:W3CDTF">2020-02-26T13:47:00Z</dcterms:created>
  <dcterms:modified xsi:type="dcterms:W3CDTF">2020-02-26T13:47:00Z</dcterms:modified>
  <cp:category>s.2: Eff. date &amp; Note to s.1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