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EF2" w:rsidRDefault="00FE4EF2" w:rsidP="00FE4EF2">
      <w:pPr>
        <w:pStyle w:val="bpuReprint"/>
      </w:pPr>
      <w:bookmarkStart w:id="0" w:name="bpuFrontPg"/>
      <w:bookmarkEnd w:id="0"/>
      <w:r>
        <w:t>[First Reprint]</w:t>
      </w:r>
    </w:p>
    <w:p w:rsidR="00347DF4" w:rsidRDefault="00347DF4" w:rsidP="00347DF4">
      <w:pPr>
        <w:pStyle w:val="bpuBill"/>
      </w:pPr>
      <w:r>
        <w:t xml:space="preserve">ASSEMBLY, No. 3605 </w:t>
      </w:r>
    </w:p>
    <w:p w:rsidR="00347DF4" w:rsidRPr="009D38FF" w:rsidRDefault="00347DF4" w:rsidP="00347D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6449" r:id="rId7"/>
        </w:object>
      </w:r>
    </w:p>
    <w:p w:rsidR="00347DF4" w:rsidRDefault="00347DF4" w:rsidP="00347DF4">
      <w:pPr>
        <w:pStyle w:val="bpuState"/>
      </w:pPr>
      <w:r>
        <w:t>STATE OF NEW JERSEY</w:t>
      </w:r>
    </w:p>
    <w:p w:rsidR="00347DF4" w:rsidRDefault="00347DF4" w:rsidP="00347DF4">
      <w:pPr>
        <w:pStyle w:val="bpuLegislature"/>
      </w:pPr>
      <w:r>
        <w:t>219th LEGISLATURE</w:t>
      </w:r>
    </w:p>
    <w:p w:rsidR="00347DF4" w:rsidRDefault="00347DF4" w:rsidP="00347DF4">
      <w:pPr>
        <w:pStyle w:val="bpuWpGraphic"/>
      </w:pPr>
      <w:r>
        <w:object w:dxaOrig="8985" w:dyaOrig="255">
          <v:shape id="_x0000_i1026" type="#_x0000_t75" style="width:6in;height:12pt" o:ole="">
            <v:imagedata r:id="rId6" o:title=""/>
          </v:shape>
          <o:OLEObject Type="Embed" ProgID="WPWin6.1" ShapeID="_x0000_i1026" DrawAspect="Content" ObjectID="_1657956450" r:id="rId8"/>
        </w:object>
      </w:r>
      <w:r>
        <w:t xml:space="preserve">  </w:t>
      </w:r>
    </w:p>
    <w:p w:rsidR="00347DF4" w:rsidRDefault="00347DF4" w:rsidP="00347DF4">
      <w:pPr>
        <w:pStyle w:val="bpuIntro"/>
      </w:pPr>
      <w:r>
        <w:t>INTRODUCED MARCH 5, 2020</w:t>
      </w:r>
    </w:p>
    <w:p w:rsidR="00347DF4" w:rsidRDefault="00347DF4" w:rsidP="00347DF4">
      <w:pPr>
        <w:pStyle w:val="bpuIntro"/>
      </w:pPr>
    </w:p>
    <w:p w:rsidR="00347DF4" w:rsidRDefault="00347DF4" w:rsidP="00347DF4">
      <w:pPr>
        <w:pStyle w:val="bpuIntro"/>
        <w:sectPr w:rsidR="00347DF4" w:rsidSect="00BF35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7DF4" w:rsidRDefault="00347DF4" w:rsidP="00347DF4">
      <w:pPr>
        <w:pStyle w:val="bpuIntro"/>
      </w:pPr>
    </w:p>
    <w:p w:rsidR="00347DF4" w:rsidRDefault="00347DF4" w:rsidP="00347DF4">
      <w:pPr>
        <w:pStyle w:val="bpuSponsor"/>
      </w:pPr>
      <w:r>
        <w:t>Sponsored by:</w:t>
      </w:r>
    </w:p>
    <w:p w:rsidR="00347DF4" w:rsidRDefault="00347DF4" w:rsidP="00347DF4">
      <w:pPr>
        <w:pStyle w:val="bpuSponsor"/>
      </w:pPr>
      <w:r>
        <w:t>Assemblywoman  ANNETTE QUIJANO</w:t>
      </w:r>
    </w:p>
    <w:p w:rsidR="00347DF4" w:rsidRDefault="00347DF4" w:rsidP="00347DF4">
      <w:pPr>
        <w:pStyle w:val="bpuSponsor"/>
      </w:pPr>
      <w:r>
        <w:t>District 20 (Union)</w:t>
      </w:r>
    </w:p>
    <w:p w:rsidR="00347DF4" w:rsidRDefault="00F6755F" w:rsidP="00F6755F">
      <w:pPr>
        <w:pStyle w:val="bpuSponsor"/>
      </w:pPr>
      <w:r>
        <w:t>Assemblywoman  CAROL A. MURPHY</w:t>
      </w:r>
    </w:p>
    <w:p w:rsidR="00F6755F" w:rsidRDefault="00F6755F" w:rsidP="00F6755F">
      <w:pPr>
        <w:pStyle w:val="bpuSponsor"/>
      </w:pPr>
      <w:r>
        <w:t>District 7 (Burlington)</w:t>
      </w:r>
    </w:p>
    <w:p w:rsidR="00F6755F" w:rsidRDefault="00BF352A" w:rsidP="00BF352A">
      <w:pPr>
        <w:pStyle w:val="bpuSponsor"/>
      </w:pPr>
      <w:r>
        <w:t>Assemblyman  JOHN ARMATO</w:t>
      </w:r>
    </w:p>
    <w:p w:rsidR="00BF352A" w:rsidRDefault="00BF352A" w:rsidP="00BF352A">
      <w:pPr>
        <w:pStyle w:val="bpuSponsor"/>
      </w:pPr>
      <w:r>
        <w:t>District 2 (Atlantic)</w:t>
      </w:r>
    </w:p>
    <w:p w:rsidR="00BF352A" w:rsidRPr="00BF352A" w:rsidRDefault="00BF352A" w:rsidP="00BF352A">
      <w:pPr>
        <w:pStyle w:val="bpuSponsor"/>
      </w:pPr>
    </w:p>
    <w:p w:rsidR="00347DF4" w:rsidRDefault="00EA1B8C" w:rsidP="00EA1B8C">
      <w:pPr>
        <w:pStyle w:val="bpuSponsor"/>
      </w:pPr>
      <w:r>
        <w:t>Co-Sponsored by:</w:t>
      </w:r>
    </w:p>
    <w:p w:rsidR="00EA1B8C" w:rsidRDefault="00EA1B8C" w:rsidP="00EA1B8C">
      <w:pPr>
        <w:pStyle w:val="bpuSponsor"/>
      </w:pPr>
      <w:r w:rsidRPr="00EA1B8C">
        <w:t xml:space="preserve">Assemblywoman </w:t>
      </w:r>
      <w:proofErr w:type="spellStart"/>
      <w:r w:rsidRPr="00EA1B8C">
        <w:t>Vainieri</w:t>
      </w:r>
      <w:proofErr w:type="spellEnd"/>
      <w:r w:rsidRPr="00EA1B8C">
        <w:t xml:space="preserve"> </w:t>
      </w:r>
      <w:proofErr w:type="spellStart"/>
      <w:r w:rsidRPr="00EA1B8C">
        <w:t>Huttle</w:t>
      </w:r>
      <w:proofErr w:type="spellEnd"/>
      <w:r w:rsidRPr="00EA1B8C">
        <w:t>, Assemblyman Tully and Assemblywoman Swain</w:t>
      </w:r>
    </w:p>
    <w:p w:rsidR="00EA1B8C" w:rsidRDefault="00EA1B8C" w:rsidP="00EA1B8C"/>
    <w:p w:rsidR="00EA1B8C" w:rsidRPr="00EA1B8C" w:rsidRDefault="00EA1B8C" w:rsidP="00EA1B8C">
      <w:bookmarkStart w:id="1" w:name="_GoBack"/>
      <w:bookmarkEnd w:id="1"/>
    </w:p>
    <w:p w:rsidR="00347DF4" w:rsidRDefault="00347DF4" w:rsidP="00347DF4">
      <w:pPr>
        <w:pStyle w:val="bpuSponsor"/>
      </w:pPr>
    </w:p>
    <w:p w:rsidR="00347DF4" w:rsidRDefault="00347DF4" w:rsidP="00347DF4">
      <w:pPr>
        <w:pStyle w:val="bpuSponsor"/>
      </w:pPr>
    </w:p>
    <w:p w:rsidR="00347DF4" w:rsidRDefault="00347DF4" w:rsidP="00347DF4">
      <w:pPr>
        <w:pStyle w:val="bpuSponsor"/>
      </w:pPr>
      <w:r>
        <w:t>SYNOPSIS</w:t>
      </w:r>
    </w:p>
    <w:p w:rsidR="00347DF4" w:rsidRDefault="00347DF4" w:rsidP="00347DF4">
      <w:pPr>
        <w:pStyle w:val="bpuNormText"/>
      </w:pPr>
      <w:r>
        <w:tab/>
        <w:t xml:space="preserve">Prohibits insurers, SHBP, and SEHBP from charging fee for paper bills and notices. </w:t>
      </w:r>
    </w:p>
    <w:p w:rsidR="00347DF4" w:rsidRDefault="00347DF4" w:rsidP="00347DF4">
      <w:pPr>
        <w:pStyle w:val="bpuNormText"/>
      </w:pPr>
    </w:p>
    <w:p w:rsidR="00347DF4" w:rsidRDefault="00347DF4" w:rsidP="00347DF4">
      <w:pPr>
        <w:pStyle w:val="bpuSponsor"/>
      </w:pPr>
      <w:r>
        <w:t xml:space="preserve">CURRENT VERSION OF TEXT </w:t>
      </w:r>
    </w:p>
    <w:p w:rsidR="00347DF4" w:rsidRDefault="00FE4EF2" w:rsidP="00347DF4">
      <w:pPr>
        <w:pStyle w:val="bpuNormText"/>
      </w:pPr>
      <w:r>
        <w:tab/>
        <w:t>As reported by the Assembly Financial Institutions and Insurance Committee on July 9, 2020, with amendments.</w:t>
      </w:r>
    </w:p>
    <w:p w:rsidR="00347DF4" w:rsidRDefault="00347DF4" w:rsidP="00347D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7DF4" w:rsidRDefault="00347DF4" w:rsidP="008916EC">
      <w:pPr>
        <w:pStyle w:val="FronterPage"/>
        <w:tabs>
          <w:tab w:val="clear" w:pos="720"/>
          <w:tab w:val="clear" w:pos="1440"/>
          <w:tab w:val="clear" w:pos="2160"/>
          <w:tab w:val="clear" w:pos="2880"/>
          <w:tab w:val="clear" w:pos="3600"/>
          <w:tab w:val="clear" w:pos="4320"/>
          <w:tab w:val="clear" w:pos="5040"/>
        </w:tabs>
        <w:sectPr w:rsidR="00347DF4" w:rsidSect="00347DF4">
          <w:type w:val="continuous"/>
          <w:pgSz w:w="12240" w:h="20160" w:code="5"/>
          <w:pgMar w:top="1440" w:right="2275" w:bottom="1440" w:left="2275" w:header="72" w:footer="720" w:gutter="0"/>
          <w:pgNumType w:start="1"/>
          <w:cols w:space="720"/>
          <w:docGrid w:linePitch="360"/>
        </w:sectPr>
      </w:pPr>
    </w:p>
    <w:p w:rsidR="00C11625" w:rsidRPr="00677316" w:rsidRDefault="00C11625" w:rsidP="00C11625">
      <w:pPr>
        <w:pStyle w:val="HangingAnAct"/>
        <w:rPr>
          <w:rStyle w:val="HangingAnActChar"/>
        </w:rPr>
      </w:pPr>
      <w:r w:rsidRPr="00C11625">
        <w:rPr>
          <w:rStyle w:val="BillHead"/>
        </w:rPr>
        <w:lastRenderedPageBreak/>
        <w:t>An Act</w:t>
      </w:r>
      <w:r w:rsidRPr="006B7FA7">
        <w:rPr>
          <w:rStyle w:val="HangingAnActChar"/>
        </w:rPr>
        <w:t xml:space="preserve"> </w:t>
      </w:r>
      <w:r>
        <w:rPr>
          <w:rStyle w:val="HangingAnActChar"/>
        </w:rPr>
        <w:t>concerning insurance billing practices and supplementing various parts of the statutory law.</w:t>
      </w:r>
    </w:p>
    <w:p w:rsidR="00C11625" w:rsidRPr="00D71D68" w:rsidRDefault="00C11625" w:rsidP="00C11625"/>
    <w:p w:rsidR="00C11625" w:rsidRDefault="00C11625" w:rsidP="00C11625">
      <w:pPr>
        <w:rPr>
          <w:rStyle w:val="BillLanguage"/>
        </w:rPr>
      </w:pPr>
      <w:r>
        <w:tab/>
      </w:r>
      <w:r>
        <w:rPr>
          <w:rStyle w:val="BillHeading2"/>
        </w:rPr>
        <w:t xml:space="preserve">Be It Enacted </w:t>
      </w:r>
      <w:r>
        <w:rPr>
          <w:rStyle w:val="BillLanguage"/>
        </w:rPr>
        <w:t>by the Senate and General Assembly of the State of New Jersey:</w:t>
      </w:r>
    </w:p>
    <w:p w:rsidR="009429BB" w:rsidRPr="00AA7880" w:rsidRDefault="009429BB" w:rsidP="00C11625"/>
    <w:p w:rsidR="00FE4EF2" w:rsidRDefault="00FE4EF2" w:rsidP="00FE4EF2">
      <w:r>
        <w:tab/>
        <w:t>1.</w:t>
      </w:r>
      <w:r>
        <w:tab/>
        <w:t xml:space="preserve">a.  As used in this section: </w:t>
      </w:r>
    </w:p>
    <w:p w:rsidR="00FE4EF2" w:rsidRDefault="00FE4EF2" w:rsidP="00FE4EF2">
      <w:r>
        <w:tab/>
        <w:t>"Commissioner" means the Commissioner of Banking and Insurance.</w:t>
      </w:r>
    </w:p>
    <w:p w:rsidR="00FE4EF2" w:rsidRDefault="00FE4EF2" w:rsidP="00FE4EF2">
      <w:r>
        <w:tab/>
        <w:t>"Insurer" means:</w:t>
      </w:r>
    </w:p>
    <w:p w:rsidR="00FE4EF2" w:rsidRDefault="00FE4EF2" w:rsidP="00FE4EF2">
      <w:r>
        <w:tab/>
        <w:t>(1)</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or Subtitle 3 of Title 17B of the New Jersey Statutes;</w:t>
      </w:r>
    </w:p>
    <w:p w:rsidR="00FE4EF2" w:rsidRDefault="00FE4EF2" w:rsidP="00FE4EF2">
      <w:r>
        <w:tab/>
        <w:t>(2)</w:t>
      </w:r>
      <w:r>
        <w:tab/>
        <w:t>Any medical service corporation operating pursuant to P.L.1940, c.74 (C.17:48A-1 et seq.);</w:t>
      </w:r>
    </w:p>
    <w:p w:rsidR="00FE4EF2" w:rsidRDefault="00FE4EF2" w:rsidP="00FE4EF2">
      <w:r>
        <w:tab/>
        <w:t>(3)</w:t>
      </w:r>
      <w:r>
        <w:tab/>
        <w:t>Any hospital service corporation operating pursuant to P.L.1938, c.366 (C.17:48-1 et seq.);</w:t>
      </w:r>
    </w:p>
    <w:p w:rsidR="00FE4EF2" w:rsidRDefault="00FE4EF2" w:rsidP="00FE4EF2">
      <w:r>
        <w:tab/>
        <w:t>(4)</w:t>
      </w:r>
      <w:r>
        <w:tab/>
        <w:t>Any health service corporation operating pursuant to P.L.1985, c.236 (C.17:48E-1 et seq.);</w:t>
      </w:r>
    </w:p>
    <w:p w:rsidR="00FE4EF2" w:rsidRDefault="00FE4EF2" w:rsidP="00FE4EF2">
      <w:r>
        <w:tab/>
        <w:t>(5)</w:t>
      </w:r>
      <w:r>
        <w:tab/>
        <w:t>Any health maintenance organization established pursuant to the provisions of P.L.1973, c.337 (C.26:2J-1 et seq.);</w:t>
      </w:r>
    </w:p>
    <w:p w:rsidR="00FE4EF2" w:rsidRDefault="00FE4EF2" w:rsidP="00FE4EF2">
      <w:r>
        <w:tab/>
        <w:t>(6)</w:t>
      </w:r>
      <w:r>
        <w:tab/>
        <w:t xml:space="preserve">Any insurance plan operating pursuant to P.L.1970, c.215 (C.17:29D-1); </w:t>
      </w:r>
    </w:p>
    <w:p w:rsidR="00FE4EF2" w:rsidRDefault="00FE4EF2" w:rsidP="00FE4EF2">
      <w:r>
        <w:tab/>
        <w:t>(7)</w:t>
      </w:r>
      <w:r>
        <w:tab/>
        <w:t>The New Jersey Insurance Underwriting Association operating pursuant to P.L.1968, c.129 (C.17:37A-1 et seq.).</w:t>
      </w:r>
    </w:p>
    <w:p w:rsidR="00FE4EF2" w:rsidRDefault="00FE4EF2" w:rsidP="00FE4EF2">
      <w:r>
        <w:tab/>
        <w:t xml:space="preserve"> b.</w:t>
      </w:r>
      <w:r>
        <w:tab/>
        <w:t>No insurer shall charge a fee to furnish tangible printed or paper bills or notices, with respect to any insurance policy, to an insured or other owner of that policy.</w:t>
      </w:r>
    </w:p>
    <w:p w:rsidR="00FE4EF2" w:rsidRDefault="00FE4EF2" w:rsidP="00FE4EF2">
      <w:r>
        <w:tab/>
        <w:t xml:space="preserve"> c.</w:t>
      </w:r>
      <w:r>
        <w:tab/>
        <w:t>If the commissioner finds, after notice and hearing, that an insurer has a pattern and practice of charging a fee prohibited by this section, the commissioner may, after notice and hearing, order the payment of a penalty not to exceed $1,000 for each offense. Each instance of a fee prohibited by this section that is charged to an insured or other owner of that policy shall be a separate offense and subject to assessment of a separate penalty. Penalties assessed pursuant to this section shall be collected by the commissioner pursuant to the "Penalty Enforcement Law of 1999," P.L.1999, c.274 (C.2A:58-10 et seq.).</w:t>
      </w:r>
    </w:p>
    <w:p w:rsidR="00C11625" w:rsidRDefault="00FE4EF2" w:rsidP="00C11625">
      <w:r>
        <w:tab/>
      </w:r>
      <w:r>
        <w:rPr>
          <w:rFonts w:ascii="Albertus Extra Bold" w:hAnsi="Albertus Extra Bold"/>
          <w:b/>
          <w:vertAlign w:val="superscript"/>
        </w:rPr>
        <w:t>1</w:t>
      </w:r>
      <w:r w:rsidRPr="00CB1BEF">
        <w:rPr>
          <w:u w:val="single"/>
        </w:rPr>
        <w:t>d.</w:t>
      </w:r>
      <w:r>
        <w:rPr>
          <w:u w:val="single"/>
        </w:rPr>
        <w:tab/>
      </w:r>
      <w:r w:rsidRPr="00CB1BEF">
        <w:rPr>
          <w:u w:val="single"/>
        </w:rPr>
        <w:t>Nothing in this section shall prohibit an insurer from offering a discount, credit or other incentive to an insured for selecting a specific billing, payment or notification option.</w:t>
      </w:r>
      <w:r>
        <w:rPr>
          <w:rFonts w:ascii="Albertus Extra Bold" w:hAnsi="Albertus Extra Bold"/>
          <w:b/>
          <w:vertAlign w:val="superscript"/>
        </w:rPr>
        <w:t>1</w:t>
      </w:r>
    </w:p>
    <w:p w:rsidR="009429BB" w:rsidRDefault="009429BB" w:rsidP="00C11625"/>
    <w:p w:rsidR="00C11625" w:rsidRDefault="00C11625" w:rsidP="00C11625">
      <w:r>
        <w:tab/>
        <w:t>2.</w:t>
      </w:r>
      <w:r>
        <w:tab/>
        <w:t xml:space="preserve">The State Health Benefits Commission shall not charge a fee to furnish tangible printed or paper bills or notices, with respect to </w:t>
      </w:r>
      <w:r>
        <w:lastRenderedPageBreak/>
        <w:t>any health plan included in the State Health Benefits Program to any member of the State</w:t>
      </w:r>
      <w:r w:rsidRPr="009C045E">
        <w:t xml:space="preserve"> </w:t>
      </w:r>
      <w:r>
        <w:t>Health Benefits Program.</w:t>
      </w:r>
    </w:p>
    <w:p w:rsidR="00C11625" w:rsidRDefault="00C11625" w:rsidP="00C11625"/>
    <w:p w:rsidR="00C11625" w:rsidRDefault="00C11625" w:rsidP="00C11625">
      <w:r>
        <w:tab/>
        <w:t>3.</w:t>
      </w:r>
      <w:r>
        <w:tab/>
        <w:t>The School Employees’ Health Benefits Commission shall not charge a fee to furnish tangible printed or paper bills or notices, with respect to any health plan included in the School Employees’ Health Benefits Program to any member of the School Employees’</w:t>
      </w:r>
      <w:r w:rsidRPr="009C045E">
        <w:t xml:space="preserve"> </w:t>
      </w:r>
      <w:r>
        <w:t>Health Benefits Program.</w:t>
      </w:r>
    </w:p>
    <w:p w:rsidR="00C11625" w:rsidRPr="00D71D68" w:rsidRDefault="00C11625" w:rsidP="00C11625"/>
    <w:p w:rsidR="00C11625" w:rsidRPr="00AA7880" w:rsidRDefault="00C11625" w:rsidP="00C11625">
      <w:r>
        <w:tab/>
        <w:t>4.</w:t>
      </w:r>
      <w:r>
        <w:tab/>
        <w:t>This act shall take effect on the 90</w:t>
      </w:r>
      <w:r w:rsidRPr="00373FF2">
        <w:rPr>
          <w:vertAlign w:val="superscript"/>
        </w:rPr>
        <w:t>th</w:t>
      </w:r>
      <w:r>
        <w:t xml:space="preserve"> day next following enactment.</w:t>
      </w:r>
    </w:p>
    <w:sectPr w:rsidR="00C11625" w:rsidRPr="00AA7880" w:rsidSect="009429BB">
      <w:headerReference w:type="default" r:id="rId13"/>
      <w:footerReference w:type="default" r:id="rId14"/>
      <w:headerReference w:type="first" r:id="rId15"/>
      <w:footerReference w:type="first" r:id="rId16"/>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C4A" w:rsidRDefault="00592C4A">
      <w:r>
        <w:separator/>
      </w:r>
    </w:p>
  </w:endnote>
  <w:endnote w:type="continuationSeparator" w:id="0">
    <w:p w:rsidR="00592C4A" w:rsidRDefault="0059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55F" w:rsidRDefault="00BF352A" w:rsidP="00BF352A">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EF2" w:rsidRPr="00921C91" w:rsidRDefault="00FE4E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4EF2" w:rsidRPr="00921C91" w:rsidRDefault="00FE4EF2">
    <w:pPr>
      <w:pStyle w:val="Footer"/>
      <w:rPr>
        <w:szCs w:val="18"/>
      </w:rPr>
    </w:pPr>
  </w:p>
  <w:p w:rsidR="00FE4EF2" w:rsidRPr="00921C91" w:rsidRDefault="00FE4E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4EF2" w:rsidRDefault="00FE4EF2" w:rsidP="00686AEB">
    <w:pPr>
      <w:pStyle w:val="Footer"/>
    </w:pPr>
    <w:r>
      <w:tab/>
      <w:t>Matter enclosed in superscript numerals has been adopted as follows:</w:t>
    </w:r>
  </w:p>
  <w:p w:rsidR="00FE4EF2" w:rsidRDefault="00FE4EF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July 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C4A" w:rsidRDefault="00592C4A">
      <w:r>
        <w:separator/>
      </w:r>
    </w:p>
  </w:footnote>
  <w:footnote w:type="continuationSeparator" w:id="0">
    <w:p w:rsidR="00592C4A" w:rsidRDefault="00592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7E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7DF4" w:rsidRDefault="00347DF4" w:rsidP="00347DF4">
    <w:pPr>
      <w:pStyle w:val="bpuHeadSpon"/>
    </w:pPr>
    <w:r w:rsidRPr="00347DF4">
      <w:rPr>
        <w:rStyle w:val="bpuHeadSponChar"/>
      </w:rPr>
      <w:t>A3605</w:t>
    </w:r>
    <w:r>
      <w:t xml:space="preserve"> </w:t>
    </w:r>
    <w:r w:rsidR="00FE4EF2">
      <w:t xml:space="preserve">[1R] </w:t>
    </w:r>
    <w:r>
      <w:t>QUIJANO</w:t>
    </w:r>
    <w:r w:rsidR="00F6755F">
      <w:t>, MURPHY</w:t>
    </w:r>
  </w:p>
  <w:p w:rsidR="00347DF4" w:rsidRDefault="00347DF4" w:rsidP="00347DF4">
    <w:pPr>
      <w:pStyle w:val="bpuHeadSpon"/>
    </w:pPr>
    <w:r>
      <w:fldChar w:fldCharType="begin"/>
    </w:r>
    <w:r>
      <w:instrText xml:space="preserve"> PAGE  \* MERGEFORMAT </w:instrText>
    </w:r>
    <w:r>
      <w:fldChar w:fldCharType="separate"/>
    </w:r>
    <w:r w:rsidR="00977E08">
      <w:rPr>
        <w:noProof/>
      </w:rPr>
      <w:t>3</w:t>
    </w:r>
    <w:r>
      <w:fldChar w:fldCharType="end"/>
    </w:r>
  </w:p>
  <w:p w:rsidR="00347DF4" w:rsidRDefault="00347DF4" w:rsidP="00347D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7DF4" w:rsidRDefault="00347DF4" w:rsidP="00347DF4">
    <w:pPr>
      <w:pStyle w:val="bpuHeadSpon"/>
    </w:pPr>
    <w:r w:rsidRPr="00347DF4">
      <w:rPr>
        <w:rStyle w:val="bpuHeadSponChar"/>
      </w:rPr>
      <w:t>A3605</w:t>
    </w:r>
    <w:r>
      <w:t xml:space="preserve"> </w:t>
    </w:r>
    <w:r w:rsidR="00FE4EF2">
      <w:t xml:space="preserve">[1R] </w:t>
    </w:r>
    <w:r>
      <w:t>QUIJANO</w:t>
    </w:r>
    <w:r w:rsidR="00F6755F">
      <w:t>, MURPHY</w:t>
    </w:r>
  </w:p>
  <w:p w:rsidR="00347DF4" w:rsidRDefault="00347DF4" w:rsidP="00347DF4">
    <w:pPr>
      <w:pStyle w:val="bpuHeadSpon"/>
    </w:pPr>
    <w:r>
      <w:fldChar w:fldCharType="begin"/>
    </w:r>
    <w:r>
      <w:instrText xml:space="preserve"> PAGE  \* MERGEFORMAT </w:instrText>
    </w:r>
    <w:r>
      <w:fldChar w:fldCharType="separate"/>
    </w:r>
    <w:r w:rsidR="00977E08">
      <w:rPr>
        <w:noProof/>
      </w:rPr>
      <w:t>2</w:t>
    </w:r>
    <w:r>
      <w:fldChar w:fldCharType="end"/>
    </w:r>
  </w:p>
  <w:p w:rsidR="00347DF4" w:rsidRDefault="00347DF4" w:rsidP="00347D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934"/>
    <w:rsid w:val="001C2D12"/>
    <w:rsid w:val="001C61C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25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DF4"/>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C4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5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67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1D5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40C"/>
    <w:rsid w:val="009121D8"/>
    <w:rsid w:val="00916F7A"/>
    <w:rsid w:val="00917FE3"/>
    <w:rsid w:val="009318C7"/>
    <w:rsid w:val="00931C09"/>
    <w:rsid w:val="009348C2"/>
    <w:rsid w:val="009429BB"/>
    <w:rsid w:val="009440D0"/>
    <w:rsid w:val="009523A3"/>
    <w:rsid w:val="00960958"/>
    <w:rsid w:val="00963A46"/>
    <w:rsid w:val="00966A3E"/>
    <w:rsid w:val="00971493"/>
    <w:rsid w:val="00971AD9"/>
    <w:rsid w:val="00973069"/>
    <w:rsid w:val="00973523"/>
    <w:rsid w:val="00977E0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3F"/>
    <w:rsid w:val="009D0E5D"/>
    <w:rsid w:val="009D0F63"/>
    <w:rsid w:val="009D7934"/>
    <w:rsid w:val="009D7CCF"/>
    <w:rsid w:val="009E5961"/>
    <w:rsid w:val="009F4FAC"/>
    <w:rsid w:val="00A017C0"/>
    <w:rsid w:val="00A065E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9DE"/>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A71"/>
    <w:rsid w:val="00BC7892"/>
    <w:rsid w:val="00BE24D6"/>
    <w:rsid w:val="00BE7EFA"/>
    <w:rsid w:val="00BF06AD"/>
    <w:rsid w:val="00BF2C67"/>
    <w:rsid w:val="00BF352A"/>
    <w:rsid w:val="00BF701E"/>
    <w:rsid w:val="00C04F4D"/>
    <w:rsid w:val="00C11625"/>
    <w:rsid w:val="00C12E48"/>
    <w:rsid w:val="00C13D14"/>
    <w:rsid w:val="00C15F53"/>
    <w:rsid w:val="00C23F09"/>
    <w:rsid w:val="00C25356"/>
    <w:rsid w:val="00C272AF"/>
    <w:rsid w:val="00C328D0"/>
    <w:rsid w:val="00C36B9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BA9"/>
    <w:rsid w:val="00DA2417"/>
    <w:rsid w:val="00DA5585"/>
    <w:rsid w:val="00DB02AC"/>
    <w:rsid w:val="00DB6AA2"/>
    <w:rsid w:val="00DE05D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B8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00A0"/>
    <w:rsid w:val="00F41A9D"/>
    <w:rsid w:val="00F44314"/>
    <w:rsid w:val="00F54B9C"/>
    <w:rsid w:val="00F56E96"/>
    <w:rsid w:val="00F573DD"/>
    <w:rsid w:val="00F61E59"/>
    <w:rsid w:val="00F63D99"/>
    <w:rsid w:val="00F6426B"/>
    <w:rsid w:val="00F6755F"/>
    <w:rsid w:val="00F709B3"/>
    <w:rsid w:val="00F71A5E"/>
    <w:rsid w:val="00FA0AFC"/>
    <w:rsid w:val="00FA1C82"/>
    <w:rsid w:val="00FA2ED1"/>
    <w:rsid w:val="00FA4A52"/>
    <w:rsid w:val="00FB4045"/>
    <w:rsid w:val="00FB4D8E"/>
    <w:rsid w:val="00FC0D0A"/>
    <w:rsid w:val="00FC1B0B"/>
    <w:rsid w:val="00FD2F97"/>
    <w:rsid w:val="00FE4EF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C2F176"/>
  <w15:docId w15:val="{C4931535-6B39-4DCA-AF97-2462DFD34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47DF4"/>
  </w:style>
  <w:style w:type="paragraph" w:styleId="BalloonText">
    <w:name w:val="Balloon Text"/>
    <w:basedOn w:val="Normal"/>
    <w:link w:val="BalloonTextChar"/>
    <w:semiHidden/>
    <w:unhideWhenUsed/>
    <w:rsid w:val="002862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2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514</Words>
  <Characters>2823</Characters>
  <Application>Microsoft Office Word</Application>
  <DocSecurity>0</DocSecurity>
  <Lines>91</Lines>
  <Paragraphs>36</Paragraphs>
  <ScaleCrop>false</ScaleCrop>
  <HeadingPairs>
    <vt:vector size="2" baseType="variant">
      <vt:variant>
        <vt:lpstr>Title</vt:lpstr>
      </vt:variant>
      <vt:variant>
        <vt:i4>1</vt:i4>
      </vt:variant>
    </vt:vector>
  </HeadingPairs>
  <TitlesOfParts>
    <vt:vector size="1" baseType="lpstr">
      <vt:lpstr>A3605 1R</vt:lpstr>
    </vt:vector>
  </TitlesOfParts>
  <Manager>R224</Manager>
  <Company>NJ Office of Legislative Services</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A3605 1R</dc:title>
  <dc:subject>Reintro A5912 18/19</dc:subject>
  <dc:creator>Assemblywoman  QUIJANO</dc:creator>
  <cp:keywords>A3605|3|CL |307|53|260|!||</cp:keywords>
  <dc:description>INTRODUCED MARCH 5, 2020_x000d_
Amended 7/9/20</dc:description>
  <cp:lastModifiedBy>Todaro, Vivian</cp:lastModifiedBy>
  <cp:revision>2</cp:revision>
  <cp:lastPrinted>2020-08-03T14:40:00Z</cp:lastPrinted>
  <dcterms:created xsi:type="dcterms:W3CDTF">2020-08-03T14:40:00Z</dcterms:created>
  <dcterms:modified xsi:type="dcterms:W3CDTF">2020-08-03T14:40:00Z</dcterms:modified>
  <cp:category>s.1: C.17:29C-14; s.2: C.52:14-17.44a; s.3: C.52:14-17.46.9a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