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253ED" w14:textId="0B29E518" w:rsidR="001C4024" w:rsidRDefault="00B72C30" w:rsidP="001C4024">
      <w:pPr>
        <w:pStyle w:val="bpuReprint"/>
      </w:pPr>
      <w:r>
        <w:t>[Second Reprint]</w:t>
      </w:r>
    </w:p>
    <w:p w14:paraId="003A40B3" w14:textId="5CF76B75" w:rsidR="00FE249D" w:rsidRDefault="00FE249D" w:rsidP="00FE249D">
      <w:pPr>
        <w:pStyle w:val="bpuBill"/>
      </w:pPr>
      <w:r>
        <w:t xml:space="preserve">ASSEMBLY, No. 4002 </w:t>
      </w:r>
    </w:p>
    <w:p w14:paraId="0A6CC9EC" w14:textId="1E1B1825" w:rsidR="00FE249D" w:rsidRPr="009D38FF" w:rsidRDefault="00FE249D" w:rsidP="00FE249D">
      <w:pPr>
        <w:pStyle w:val="bpuWpGraphic"/>
      </w:pPr>
      <w:r>
        <w:object w:dxaOrig="8985" w:dyaOrig="255" w14:anchorId="74E20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72111" r:id="rId8"/>
        </w:object>
      </w:r>
    </w:p>
    <w:p w14:paraId="3CEAF8E5" w14:textId="77777777" w:rsidR="00FE249D" w:rsidRDefault="00FE249D" w:rsidP="00FE249D">
      <w:pPr>
        <w:pStyle w:val="bpuState"/>
      </w:pPr>
      <w:r>
        <w:t>STATE OF NEW JERSEY</w:t>
      </w:r>
    </w:p>
    <w:p w14:paraId="2D1CC13B" w14:textId="77777777" w:rsidR="00FE249D" w:rsidRDefault="00FE249D" w:rsidP="00FE249D">
      <w:pPr>
        <w:pStyle w:val="bpuLegislature"/>
      </w:pPr>
      <w:r>
        <w:t>219th LEGISLATURE</w:t>
      </w:r>
    </w:p>
    <w:p w14:paraId="423458E1" w14:textId="4EA86C9A" w:rsidR="00FE249D" w:rsidRDefault="00FE249D" w:rsidP="00FE249D">
      <w:pPr>
        <w:pStyle w:val="bpuWpGraphic"/>
      </w:pPr>
      <w:r>
        <w:object w:dxaOrig="8985" w:dyaOrig="255" w14:anchorId="432DC9ED">
          <v:shape id="_x0000_i1026" type="#_x0000_t75" style="width:6in;height:12.1pt" o:ole="">
            <v:imagedata r:id="rId7" o:title=""/>
          </v:shape>
          <o:OLEObject Type="Embed" ProgID="WPWin6.1" ShapeID="_x0000_i1026" DrawAspect="Content" ObjectID="_1697972112" r:id="rId9"/>
        </w:object>
      </w:r>
      <w:r>
        <w:t xml:space="preserve">  </w:t>
      </w:r>
    </w:p>
    <w:p w14:paraId="029263FF" w14:textId="77777777" w:rsidR="00FE249D" w:rsidRDefault="00FE249D" w:rsidP="00FE249D">
      <w:pPr>
        <w:pStyle w:val="bpuIntro"/>
      </w:pPr>
      <w:r>
        <w:t>INTRODUCED MAY 4, 2020</w:t>
      </w:r>
    </w:p>
    <w:p w14:paraId="027ACE62" w14:textId="77777777" w:rsidR="00FE249D" w:rsidRDefault="00FE249D" w:rsidP="00FE249D">
      <w:pPr>
        <w:pStyle w:val="bpuIntro"/>
      </w:pPr>
    </w:p>
    <w:p w14:paraId="52FFE865" w14:textId="77777777" w:rsidR="00FE249D" w:rsidRDefault="00FE249D" w:rsidP="00FE249D">
      <w:pPr>
        <w:pStyle w:val="bpuIntro"/>
        <w:sectPr w:rsidR="00FE249D" w:rsidSect="0053434F">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14:paraId="50867D6F" w14:textId="77777777" w:rsidR="00FE249D" w:rsidRDefault="00FE249D" w:rsidP="00FE249D">
      <w:pPr>
        <w:pStyle w:val="bpuIntro"/>
      </w:pPr>
    </w:p>
    <w:p w14:paraId="6560DE8B" w14:textId="77777777" w:rsidR="00FE249D" w:rsidRDefault="00FE249D" w:rsidP="00FE249D">
      <w:pPr>
        <w:pStyle w:val="bpuSponsor"/>
      </w:pPr>
      <w:r>
        <w:t>Sponsored by:</w:t>
      </w:r>
    </w:p>
    <w:p w14:paraId="729245CC" w14:textId="77777777" w:rsidR="00FE249D" w:rsidRDefault="00FE249D" w:rsidP="00FE249D">
      <w:pPr>
        <w:pStyle w:val="bpuSponsor"/>
      </w:pPr>
      <w:proofErr w:type="gramStart"/>
      <w:r>
        <w:t>Assemblyman  RALPH</w:t>
      </w:r>
      <w:proofErr w:type="gramEnd"/>
      <w:r>
        <w:t xml:space="preserve"> R. CAPUTO</w:t>
      </w:r>
    </w:p>
    <w:p w14:paraId="51E0528A" w14:textId="77777777" w:rsidR="00FE249D" w:rsidRDefault="00FE249D" w:rsidP="00FE249D">
      <w:pPr>
        <w:pStyle w:val="bpuSponsor"/>
      </w:pPr>
      <w:r>
        <w:t>District 28 (Essex)</w:t>
      </w:r>
    </w:p>
    <w:p w14:paraId="06EBCE6A" w14:textId="3A3978B5" w:rsidR="00FE249D" w:rsidRDefault="00607C8D" w:rsidP="00607C8D">
      <w:pPr>
        <w:pStyle w:val="bpuSponsor"/>
      </w:pPr>
      <w:proofErr w:type="gramStart"/>
      <w:r>
        <w:t>Assemblyman  RONALD</w:t>
      </w:r>
      <w:proofErr w:type="gramEnd"/>
      <w:r>
        <w:t xml:space="preserve"> S. DANCER</w:t>
      </w:r>
    </w:p>
    <w:p w14:paraId="49D8793E" w14:textId="4D5FA6C0" w:rsidR="00607C8D" w:rsidRDefault="00607C8D" w:rsidP="00607C8D">
      <w:pPr>
        <w:pStyle w:val="bpuSponsor"/>
      </w:pPr>
      <w:r>
        <w:t>District 12 (Burlington, Middlesex, Monmouth and Ocean)</w:t>
      </w:r>
    </w:p>
    <w:p w14:paraId="698D01AB" w14:textId="530280F0" w:rsidR="00607C8D" w:rsidRDefault="00182202" w:rsidP="00182202">
      <w:pPr>
        <w:pStyle w:val="bpuSponsor"/>
      </w:pPr>
      <w:proofErr w:type="gramStart"/>
      <w:r>
        <w:t>Assemblywoman  CAROL</w:t>
      </w:r>
      <w:proofErr w:type="gramEnd"/>
      <w:r>
        <w:t xml:space="preserve"> A. MURPHY</w:t>
      </w:r>
    </w:p>
    <w:p w14:paraId="22194DA8" w14:textId="015FB94B" w:rsidR="00182202" w:rsidRDefault="00182202" w:rsidP="00182202">
      <w:pPr>
        <w:pStyle w:val="bpuSponsor"/>
      </w:pPr>
      <w:r>
        <w:t>District 7 (Burlington)</w:t>
      </w:r>
    </w:p>
    <w:p w14:paraId="50542F9D" w14:textId="48A54FCC" w:rsidR="00182202" w:rsidRDefault="0053434F" w:rsidP="0053434F">
      <w:pPr>
        <w:pStyle w:val="bpuSponsor"/>
      </w:pPr>
      <w:proofErr w:type="gramStart"/>
      <w:r>
        <w:t>Senator  VIN</w:t>
      </w:r>
      <w:proofErr w:type="gramEnd"/>
      <w:r>
        <w:t xml:space="preserve"> GOPAL</w:t>
      </w:r>
    </w:p>
    <w:p w14:paraId="08F32E8A" w14:textId="4A1449ED" w:rsidR="0053434F" w:rsidRDefault="0053434F" w:rsidP="0053434F">
      <w:pPr>
        <w:pStyle w:val="bpuSponsor"/>
      </w:pPr>
      <w:r>
        <w:t>District 11 (Monmouth)</w:t>
      </w:r>
    </w:p>
    <w:p w14:paraId="0764D89A" w14:textId="2EB0D667" w:rsidR="0053434F" w:rsidRDefault="0053434F" w:rsidP="0053434F">
      <w:pPr>
        <w:pStyle w:val="bpuSponsor"/>
      </w:pPr>
      <w:proofErr w:type="gramStart"/>
      <w:r>
        <w:t>Senator  PAUL</w:t>
      </w:r>
      <w:proofErr w:type="gramEnd"/>
      <w:r>
        <w:t xml:space="preserve"> A. SARLO</w:t>
      </w:r>
    </w:p>
    <w:p w14:paraId="511DEE4E" w14:textId="746A3C1A" w:rsidR="0053434F" w:rsidRDefault="0053434F" w:rsidP="0053434F">
      <w:pPr>
        <w:pStyle w:val="bpuSponsor"/>
      </w:pPr>
      <w:r>
        <w:t>District 36 (Bergen and Passaic)</w:t>
      </w:r>
    </w:p>
    <w:p w14:paraId="2A909C5F" w14:textId="77777777" w:rsidR="0053434F" w:rsidRPr="0053434F" w:rsidRDefault="0053434F" w:rsidP="0053434F"/>
    <w:p w14:paraId="69D6A0C3" w14:textId="77777777" w:rsidR="00FE249D" w:rsidRDefault="00FE249D" w:rsidP="00FE249D">
      <w:pPr>
        <w:pStyle w:val="bpuSponsor"/>
      </w:pPr>
    </w:p>
    <w:p w14:paraId="2817D3DB" w14:textId="77777777" w:rsidR="00FE249D" w:rsidRDefault="00FE249D" w:rsidP="00FE249D">
      <w:pPr>
        <w:pStyle w:val="bpuSponsor"/>
      </w:pPr>
    </w:p>
    <w:p w14:paraId="3DE7A361" w14:textId="77777777" w:rsidR="00FE249D" w:rsidRDefault="00FE249D" w:rsidP="00FE249D">
      <w:pPr>
        <w:pStyle w:val="bpuSponsor"/>
      </w:pPr>
    </w:p>
    <w:p w14:paraId="446E3B98" w14:textId="77777777" w:rsidR="00FE249D" w:rsidRDefault="00FE249D" w:rsidP="00FE249D">
      <w:pPr>
        <w:pStyle w:val="bpuSponsor"/>
      </w:pPr>
      <w:r>
        <w:t>SYNOPSIS</w:t>
      </w:r>
    </w:p>
    <w:p w14:paraId="6760A333" w14:textId="77777777" w:rsidR="00FE249D" w:rsidRDefault="00FE249D" w:rsidP="00FE249D">
      <w:pPr>
        <w:pStyle w:val="bpuNormText"/>
      </w:pPr>
      <w:r>
        <w:tab/>
        <w:t xml:space="preserve">Allows deduction of promotional gaming credit from gross revenue on sports wagering. </w:t>
      </w:r>
    </w:p>
    <w:p w14:paraId="1E0A16B8" w14:textId="77777777" w:rsidR="00FE249D" w:rsidRDefault="00FE249D" w:rsidP="00FE249D">
      <w:pPr>
        <w:pStyle w:val="bpuNormText"/>
      </w:pPr>
    </w:p>
    <w:p w14:paraId="5D81363F" w14:textId="77777777" w:rsidR="00FE249D" w:rsidRDefault="00FE249D" w:rsidP="00FE249D">
      <w:pPr>
        <w:pStyle w:val="bpuSponsor"/>
      </w:pPr>
      <w:r>
        <w:t xml:space="preserve">CURRENT VERSION OF TEXT </w:t>
      </w:r>
    </w:p>
    <w:p w14:paraId="1812F971" w14:textId="418B25C1" w:rsidR="00FE249D" w:rsidRDefault="00B72C30" w:rsidP="00FE249D">
      <w:pPr>
        <w:pStyle w:val="bpuNormText"/>
      </w:pPr>
      <w:r>
        <w:tab/>
        <w:t>As amended on November 8, 2021 by the General Assembly pursuant to the Governor's recommendations.</w:t>
      </w:r>
    </w:p>
    <w:p w14:paraId="35947DEB" w14:textId="2AF8167B" w:rsidR="00FE249D" w:rsidRDefault="00FE249D" w:rsidP="00FE249D">
      <w:pPr>
        <w:pStyle w:val="bpuNormText"/>
      </w:pPr>
      <w:r>
        <w:rPr>
          <w:noProof/>
        </w:rPr>
        <w:drawing>
          <wp:anchor distT="0" distB="0" distL="114300" distR="114300" simplePos="0" relativeHeight="251659264" behindDoc="1" locked="0" layoutInCell="1" allowOverlap="1" wp14:anchorId="0A832987" wp14:editId="097FC66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BA0C734" w14:textId="77777777" w:rsidR="00FE249D" w:rsidRDefault="00FE249D" w:rsidP="008916EC">
      <w:pPr>
        <w:pStyle w:val="FronterPage"/>
        <w:tabs>
          <w:tab w:val="clear" w:pos="720"/>
          <w:tab w:val="clear" w:pos="1440"/>
          <w:tab w:val="clear" w:pos="2160"/>
          <w:tab w:val="clear" w:pos="2880"/>
          <w:tab w:val="clear" w:pos="3600"/>
          <w:tab w:val="clear" w:pos="4320"/>
          <w:tab w:val="clear" w:pos="5040"/>
        </w:tabs>
        <w:sectPr w:rsidR="00FE249D" w:rsidSect="00FE249D">
          <w:type w:val="continuous"/>
          <w:pgSz w:w="12240" w:h="20160" w:code="5"/>
          <w:pgMar w:top="1440" w:right="2275" w:bottom="1440" w:left="2275" w:header="72" w:footer="720" w:gutter="0"/>
          <w:pgNumType w:start="1"/>
          <w:cols w:space="720"/>
          <w:docGrid w:linePitch="360"/>
        </w:sectPr>
      </w:pPr>
    </w:p>
    <w:p w14:paraId="5F461023" w14:textId="77D4D4B0"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742C2D" w:rsidRPr="00742C2D">
        <w:rPr>
          <w:rStyle w:val="HangingAnActChar"/>
        </w:rPr>
        <w:t>concerning promotional gaming credits for sports wagering and supplementing P.L.2018, c.33 (C.5:12A-10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212114E9"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 xml:space="preserve">1.  </w:t>
      </w:r>
      <w:proofErr w:type="gramStart"/>
      <w:r w:rsidRPr="00B72C30">
        <w:rPr>
          <w:spacing w:val="0"/>
        </w:rPr>
        <w:t>a</w:t>
      </w:r>
      <w:proofErr w:type="gramEnd"/>
      <w:r w:rsidRPr="00B72C30">
        <w:rPr>
          <w:spacing w:val="0"/>
        </w:rPr>
        <w:t xml:space="preserve">.  A casino or racetrack that holds a sports wagering license shall receive an annual deduction from the gross revenue </w:t>
      </w:r>
      <w:r w:rsidRPr="00B72C30">
        <w:rPr>
          <w:rFonts w:ascii="Albertus Extra Bold" w:hAnsi="Albertus Extra Bold"/>
          <w:b/>
          <w:vertAlign w:val="superscript"/>
        </w:rPr>
        <w:t>2</w:t>
      </w:r>
      <w:r w:rsidRPr="00B72C30">
        <w:rPr>
          <w:spacing w:val="0"/>
          <w:u w:val="single"/>
        </w:rPr>
        <w:t>from non-Internet sports wagering</w:t>
      </w:r>
      <w:r w:rsidRPr="00B72C30">
        <w:rPr>
          <w:rFonts w:ascii="Albertus Extra Bold" w:hAnsi="Albertus Extra Bold"/>
          <w:b/>
          <w:vertAlign w:val="superscript"/>
        </w:rPr>
        <w:t>2</w:t>
      </w:r>
      <w:r w:rsidRPr="00B72C30">
        <w:rPr>
          <w:spacing w:val="0"/>
        </w:rPr>
        <w:t xml:space="preserve"> taxed pursuant to section 7 of P.L.2018, c.33 (C.5:12A-16) in an amount equal to the promotional gaming </w:t>
      </w:r>
      <w:proofErr w:type="gramStart"/>
      <w:r w:rsidRPr="00B72C30">
        <w:rPr>
          <w:spacing w:val="0"/>
        </w:rPr>
        <w:t>credits</w:t>
      </w:r>
      <w:r w:rsidRPr="00B72C30">
        <w:rPr>
          <w:rFonts w:ascii="Albertus Extra Bold" w:hAnsi="Albertus Extra Bold"/>
          <w:b/>
          <w:vertAlign w:val="superscript"/>
        </w:rPr>
        <w:t>2</w:t>
      </w:r>
      <w:r w:rsidRPr="00B72C30">
        <w:rPr>
          <w:rFonts w:ascii="Albertus Extra Bold" w:hAnsi="Albertus Extra Bold"/>
          <w:b/>
        </w:rPr>
        <w:t>[</w:t>
      </w:r>
      <w:proofErr w:type="gramEnd"/>
      <w:r w:rsidRPr="00B72C30">
        <w:rPr>
          <w:spacing w:val="0"/>
        </w:rPr>
        <w:t>, whether or not such amounts include a play-through requirement or other restriction,</w:t>
      </w:r>
      <w:r w:rsidRPr="00B72C30">
        <w:rPr>
          <w:rFonts w:ascii="Albertus Extra Bold" w:hAnsi="Albertus Extra Bold"/>
          <w:b/>
        </w:rPr>
        <w:t>]</w:t>
      </w:r>
      <w:r w:rsidRPr="00B72C30">
        <w:rPr>
          <w:rFonts w:ascii="Albertus Extra Bold" w:hAnsi="Albertus Extra Bold"/>
          <w:b/>
          <w:vertAlign w:val="superscript"/>
        </w:rPr>
        <w:t>2</w:t>
      </w:r>
      <w:r w:rsidRPr="00B72C30">
        <w:rPr>
          <w:spacing w:val="0"/>
        </w:rPr>
        <w:t xml:space="preserve"> actually wagered by patrons, that are reported by that licensee in its annual tax return.</w:t>
      </w:r>
    </w:p>
    <w:p w14:paraId="0D2BEAF7"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 xml:space="preserve">b. </w:t>
      </w:r>
      <w:r w:rsidRPr="00B72C30">
        <w:rPr>
          <w:rFonts w:ascii="Albertus Extra Bold" w:hAnsi="Albertus Extra Bold"/>
          <w:b/>
          <w:vertAlign w:val="superscript"/>
        </w:rPr>
        <w:t>2</w:t>
      </w:r>
      <w:r w:rsidRPr="00B72C30">
        <w:rPr>
          <w:rFonts w:ascii="Albertus Extra Bold" w:hAnsi="Albertus Extra Bold"/>
          <w:b/>
        </w:rPr>
        <w:t>[</w:t>
      </w:r>
      <w:r w:rsidRPr="00B72C30">
        <w:rPr>
          <w:spacing w:val="0"/>
        </w:rPr>
        <w:t>(1)  A casino or racetrack that holds a sports wagering license shall be allowed the deduction, pursuant to subsection a. of this section, from gross revenues from Internet sports wagering for a tax year for the total value of promotional gaming credits actually wagered by patrons for that tax year in excess of $12,000,000. For the first tax year in which this act takes effect, the division shall reduce the $12,000,000 deduction threshold for that tax year in proportion to the part of the tax year that has elapsed prior to the effective date of this act.</w:t>
      </w:r>
    </w:p>
    <w:p w14:paraId="68E1C1AC"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(2)</w:t>
      </w:r>
      <w:r w:rsidRPr="00B72C30">
        <w:rPr>
          <w:rFonts w:ascii="Albertus Extra Bold" w:hAnsi="Albertus Extra Bold"/>
          <w:b/>
        </w:rPr>
        <w:t>]</w:t>
      </w:r>
      <w:proofErr w:type="gramStart"/>
      <w:r w:rsidRPr="00B72C30">
        <w:rPr>
          <w:rFonts w:ascii="Albertus Extra Bold" w:hAnsi="Albertus Extra Bold"/>
          <w:b/>
          <w:vertAlign w:val="superscript"/>
        </w:rPr>
        <w:t>2</w:t>
      </w:r>
      <w:r w:rsidRPr="00B72C30">
        <w:rPr>
          <w:spacing w:val="0"/>
        </w:rPr>
        <w:t xml:space="preserve">  A</w:t>
      </w:r>
      <w:proofErr w:type="gramEnd"/>
      <w:r w:rsidRPr="00B72C30">
        <w:rPr>
          <w:spacing w:val="0"/>
        </w:rPr>
        <w:t xml:space="preserve"> casino or racetrack that holds a sports wagering license shall be allowed the deduction, pursuant to subsection a. of this section, from gross revenues from non-Internet sports wagering for a tax year for the total value of promotional gaming credits actually wagered by patrons at all licensed casinos and racetracks for that tax year in excess of $8,000,000. For the first tax year in which this act takes effect, the division shall reduce the $8,000,000 deduction threshold for that tax year in proportion to the part of the tax year that has elapsed prior to the effective date of this act.</w:t>
      </w:r>
    </w:p>
    <w:p w14:paraId="37CFC950"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c.  (1)  The division shall establish, by regulation, procedures to ensure that the promotional gaming credit deduction established pursuant to this section does not result in a negative fiscal impact to the Casino Revenue Fund, or the General Fund as appropriate under section 7 of P.L.2018, c.33 (C.5:12A-16). If necessary, the division may reduce the value of the available deduction to eliminate any negative fiscal impact to the Casino Revenue Fund, or the General Fund as appropriate, attributable solely to the deduction and not to other economic or other factors that cause a negative fiscal impact to the Casino Revenue Fund, or the General Fund as appropriate.</w:t>
      </w:r>
    </w:p>
    <w:p w14:paraId="396AD622"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(2)  For the purposes of this subsection, "negative fiscal impact to the Casino Revenue Fund or the General Fund" shall mean that the amount generated from taxation of promotional gaming credits falls below the level generated in calendar year 2017.</w:t>
      </w:r>
    </w:p>
    <w:p w14:paraId="52A5A88C"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lastRenderedPageBreak/>
        <w:tab/>
      </w:r>
      <w:r w:rsidRPr="00B72C30">
        <w:rPr>
          <w:rFonts w:ascii="Albertus Extra Bold" w:hAnsi="Albertus Extra Bold"/>
          <w:b/>
          <w:vertAlign w:val="superscript"/>
        </w:rPr>
        <w:t>1</w:t>
      </w:r>
      <w:r w:rsidRPr="00B72C30">
        <w:rPr>
          <w:spacing w:val="0"/>
          <w:u w:val="single"/>
        </w:rPr>
        <w:t>d.  No deduction shall be allowed pursuant to this section for any promotional gaming credits included in the calculation of any other deduction for promotional gaming credits, including, but not limited to, the deduction allowed pursuant to section 2 of P.L.2008, c.12 (C.5:12-144.2).</w:t>
      </w:r>
      <w:r w:rsidRPr="00B72C30">
        <w:rPr>
          <w:rFonts w:ascii="Albertus Extra Bold" w:hAnsi="Albertus Extra Bold"/>
          <w:b/>
          <w:vertAlign w:val="superscript"/>
        </w:rPr>
        <w:t>1</w:t>
      </w:r>
    </w:p>
    <w:p w14:paraId="17586AB5" w14:textId="0CC91F4B" w:rsidR="001C4024" w:rsidRPr="00B72C30" w:rsidRDefault="00B72C30"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72C30">
        <w:rPr>
          <w:b/>
        </w:rPr>
        <w:tab/>
      </w:r>
      <w:r w:rsidRPr="00B72C30">
        <w:rPr>
          <w:rFonts w:ascii="Albertus Extra Bold" w:hAnsi="Albertus Extra Bold"/>
          <w:b/>
          <w:vertAlign w:val="superscript"/>
        </w:rPr>
        <w:t>2</w:t>
      </w:r>
      <w:r w:rsidRPr="00B72C30">
        <w:rPr>
          <w:u w:val="single"/>
        </w:rPr>
        <w:t>e.  As used in this section, ‘promotional gaming credit’ means a sports wagering credit or other item approved by the division that is issued by a casino or racetrack that holds a sports wagering license to a patron for the purpose of enabling the placement of a wager in a sports pool in the licensee’s casino or racetrack.  No such credit shall be reported as a promotional gaming credit unless the licensee can establish that the credit was issued by the licensee and received from a patron as a wager in a sports pool in the licensee’s casino or racetrack.</w:t>
      </w:r>
      <w:r w:rsidRPr="00B72C30">
        <w:rPr>
          <w:rFonts w:ascii="Albertus Extra Bold" w:hAnsi="Albertus Extra Bold"/>
          <w:b/>
          <w:vertAlign w:val="superscript"/>
        </w:rPr>
        <w:t>2</w:t>
      </w:r>
    </w:p>
    <w:p w14:paraId="6D53FCF4" w14:textId="77777777" w:rsidR="00621F0E" w:rsidRPr="00D71D68" w:rsidRDefault="00621F0E" w:rsidP="00686AEB"/>
    <w:p w14:paraId="4C8847C3" w14:textId="2477BBC0" w:rsidR="006A7A7F" w:rsidRPr="00CE7BD8" w:rsidRDefault="00686AEB" w:rsidP="0064233E">
      <w:r>
        <w:tab/>
      </w:r>
      <w:r w:rsidR="000D3E6C">
        <w:t>2</w:t>
      </w:r>
      <w:r w:rsidR="00621F0E">
        <w:t>.</w:t>
      </w:r>
      <w:r w:rsidR="00621F0E">
        <w:tab/>
      </w:r>
      <w:r w:rsidR="00C8577A">
        <w:t>This act shall take effect</w:t>
      </w:r>
      <w:r w:rsidR="00F440F9">
        <w:t xml:space="preserve"> </w:t>
      </w:r>
      <w:r w:rsidR="000D3E6C">
        <w:t>immediately.</w:t>
      </w:r>
    </w:p>
    <w:sectPr w:rsidR="006A7A7F" w:rsidRPr="00CE7BD8" w:rsidSect="00B72C30">
      <w:headerReference w:type="default" r:id="rId17"/>
      <w:footerReference w:type="default" r:id="rId18"/>
      <w:headerReference w:type="first" r:id="rId19"/>
      <w:footerReference w:type="first" r:id="rId20"/>
      <w:pgSz w:w="12240" w:h="20160" w:code="5"/>
      <w:pgMar w:top="1440" w:right="2520" w:bottom="1872" w:left="2880" w:header="1181" w:footer="4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0BA84" w14:textId="77777777" w:rsidR="00291F9C" w:rsidRDefault="00291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A4B30" w14:textId="4FA43EC3" w:rsidR="00607C8D" w:rsidRDefault="0053434F" w:rsidP="0053434F">
    <w:pPr>
      <w:pStyle w:val="sponUdate"/>
    </w:pPr>
    <w:r>
      <w:t>(Sponsorship Updated As Of: 6/3/2021)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A61FE" w14:textId="77777777" w:rsidR="00291F9C" w:rsidRDefault="00291F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65AFA" w14:textId="77777777" w:rsidR="001C4024" w:rsidRPr="00921C91" w:rsidRDefault="001C40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CCD91E" w14:textId="77777777" w:rsidR="001C4024" w:rsidRPr="00921C91" w:rsidRDefault="001C4024">
    <w:pPr>
      <w:pStyle w:val="Footer"/>
      <w:rPr>
        <w:szCs w:val="18"/>
      </w:rPr>
    </w:pPr>
  </w:p>
  <w:p w14:paraId="1EB1F6C8" w14:textId="77777777" w:rsidR="001C4024" w:rsidRPr="00921C91" w:rsidRDefault="001C40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0167B0C" w14:textId="7D98CCAE" w:rsidR="001C4024" w:rsidRDefault="001C4024" w:rsidP="00686AEB">
    <w:pPr>
      <w:pStyle w:val="Footer"/>
    </w:pPr>
    <w:r>
      <w:tab/>
      <w:t>Matter enclosed in superscript numerals has been adopted as follows:</w:t>
    </w:r>
  </w:p>
  <w:p w14:paraId="69F121C6" w14:textId="4AF9A593" w:rsidR="001C4024" w:rsidRDefault="001C40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14:paraId="2116036F" w14:textId="77777777" w:rsidR="002574F2" w:rsidRDefault="00B72C3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w:t>
    </w:r>
    <w:r w:rsidR="002574F2">
      <w:rPr>
        <w:rFonts w:ascii="AlbertusExtraBold" w:hAnsi="AlbertusExtraBold"/>
      </w:rPr>
      <w:t xml:space="preserve">ith Governor's </w:t>
    </w:r>
  </w:p>
  <w:p w14:paraId="6651E1C0" w14:textId="27340634" w:rsidR="001C4024" w:rsidRDefault="002574F2" w:rsidP="00686AEB">
    <w:pPr>
      <w:pStyle w:val="Footer"/>
      <w:rPr>
        <w:rFonts w:ascii="AlbertusExtraBold" w:hAnsi="AlbertusExtraBold"/>
      </w:rPr>
    </w:pPr>
    <w:bookmarkStart w:id="0" w:name="_GoBack"/>
    <w:r>
      <w:rPr>
        <w:rFonts w:ascii="AlbertusExtraBold" w:hAnsi="AlbertusExtraBold"/>
      </w:rPr>
      <w:t xml:space="preserve">     </w:t>
    </w:r>
    <w:bookmarkEnd w:id="0"/>
    <w:proofErr w:type="gramStart"/>
    <w:r>
      <w:rPr>
        <w:rFonts w:ascii="AlbertusExtraBold" w:hAnsi="AlbertusExtraBold"/>
      </w:rPr>
      <w:t>recommendations</w:t>
    </w:r>
    <w:proofErr w:type="gramEnd"/>
    <w:r>
      <w:rPr>
        <w:rFonts w:ascii="AlbertusExtraBold" w:hAnsi="AlbertusExtraBold"/>
      </w:rPr>
      <w:t xml:space="preserve"> </w:t>
    </w:r>
    <w:r w:rsidR="00B72C30">
      <w:rPr>
        <w:rFonts w:ascii="AlbertusExtraBold" w:hAnsi="AlbertusExtraBold"/>
      </w:rPr>
      <w:t>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6C003A">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68F6849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D144F" w14:textId="77777777" w:rsidR="00291F9C" w:rsidRDefault="00291F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4DAD143A" w:rsidR="00665CBC" w:rsidRDefault="00665CBC" w:rsidP="00686AEB">
    <w:pPr>
      <w:pStyle w:val="Header"/>
      <w:jc w:val="center"/>
      <w:rPr>
        <w:rStyle w:val="PageNumber"/>
      </w:rPr>
    </w:pPr>
  </w:p>
  <w:p w14:paraId="03EDE099" w14:textId="40983B5A" w:rsidR="00FE249D" w:rsidRDefault="00FE249D" w:rsidP="00FE249D">
    <w:pPr>
      <w:pStyle w:val="bpuHeadSpon"/>
    </w:pPr>
    <w:r w:rsidRPr="00FE249D">
      <w:rPr>
        <w:rStyle w:val="bpuHeadSponChar"/>
      </w:rPr>
      <w:t>A4002</w:t>
    </w:r>
    <w:r>
      <w:t xml:space="preserve"> </w:t>
    </w:r>
    <w:r w:rsidR="00B72C30">
      <w:t>[2R]</w:t>
    </w:r>
    <w:r w:rsidR="001C4024">
      <w:t xml:space="preserve"> </w:t>
    </w:r>
    <w:r>
      <w:t>CAPUTO</w:t>
    </w:r>
    <w:r w:rsidR="00607C8D">
      <w:t>, DANCER</w:t>
    </w:r>
  </w:p>
  <w:p w14:paraId="5C487D58" w14:textId="09E14546" w:rsidR="00FE249D" w:rsidRDefault="00FE249D" w:rsidP="00FE249D">
    <w:pPr>
      <w:pStyle w:val="bpuHeadSpon"/>
    </w:pPr>
    <w:r>
      <w:fldChar w:fldCharType="begin"/>
    </w:r>
    <w:r>
      <w:instrText xml:space="preserve"> PAGE  \* MERGEFORMAT </w:instrText>
    </w:r>
    <w:r>
      <w:fldChar w:fldCharType="separate"/>
    </w:r>
    <w:r w:rsidR="006C003A">
      <w:rPr>
        <w:noProof/>
      </w:rPr>
      <w:t>3</w:t>
    </w:r>
    <w:r>
      <w:fldChar w:fldCharType="end"/>
    </w:r>
  </w:p>
  <w:p w14:paraId="5B1D3897" w14:textId="77777777" w:rsidR="00FE249D" w:rsidRDefault="00FE249D" w:rsidP="00FE249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1565FFAE" w:rsidR="00665CBC" w:rsidRDefault="00665CBC">
    <w:pPr>
      <w:pStyle w:val="Header"/>
    </w:pPr>
  </w:p>
  <w:p w14:paraId="050E6EF0" w14:textId="7FA6ACB8" w:rsidR="00FE249D" w:rsidRDefault="00FE249D" w:rsidP="00FE249D">
    <w:pPr>
      <w:pStyle w:val="bpuHeadSpon"/>
    </w:pPr>
    <w:r w:rsidRPr="00FE249D">
      <w:rPr>
        <w:rStyle w:val="bpuHeadSponChar"/>
      </w:rPr>
      <w:t>A4002</w:t>
    </w:r>
    <w:r>
      <w:t xml:space="preserve"> </w:t>
    </w:r>
    <w:r w:rsidR="00B72C30">
      <w:t>[2R]</w:t>
    </w:r>
    <w:r w:rsidR="001C4024">
      <w:t xml:space="preserve"> </w:t>
    </w:r>
    <w:r>
      <w:t>CAPUTO</w:t>
    </w:r>
    <w:r w:rsidR="00607C8D">
      <w:t>, DANCER</w:t>
    </w:r>
  </w:p>
  <w:p w14:paraId="3C8F2694" w14:textId="32F13569" w:rsidR="00FE249D" w:rsidRDefault="00FE249D" w:rsidP="00FE249D">
    <w:pPr>
      <w:pStyle w:val="bpuHeadSpon"/>
    </w:pPr>
    <w:r>
      <w:fldChar w:fldCharType="begin"/>
    </w:r>
    <w:r>
      <w:instrText xml:space="preserve"> PAGE  \* MERGEFORMAT </w:instrText>
    </w:r>
    <w:r>
      <w:fldChar w:fldCharType="separate"/>
    </w:r>
    <w:r w:rsidR="006C003A">
      <w:rPr>
        <w:noProof/>
      </w:rPr>
      <w:t>2</w:t>
    </w:r>
    <w:r>
      <w:fldChar w:fldCharType="end"/>
    </w:r>
  </w:p>
  <w:p w14:paraId="6BB7041E" w14:textId="77777777" w:rsidR="00FE249D" w:rsidRDefault="00FE249D" w:rsidP="00FE2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36F6E"/>
    <w:rsid w:val="00043B22"/>
    <w:rsid w:val="00054975"/>
    <w:rsid w:val="00057D20"/>
    <w:rsid w:val="0006197C"/>
    <w:rsid w:val="0006281F"/>
    <w:rsid w:val="0008141C"/>
    <w:rsid w:val="00082574"/>
    <w:rsid w:val="00094A55"/>
    <w:rsid w:val="000A19CC"/>
    <w:rsid w:val="000A44A7"/>
    <w:rsid w:val="000B1054"/>
    <w:rsid w:val="000B3411"/>
    <w:rsid w:val="000B49EE"/>
    <w:rsid w:val="000C054C"/>
    <w:rsid w:val="000C12C2"/>
    <w:rsid w:val="000D11AF"/>
    <w:rsid w:val="000D3E6C"/>
    <w:rsid w:val="000D6255"/>
    <w:rsid w:val="000D6262"/>
    <w:rsid w:val="000D7B4A"/>
    <w:rsid w:val="000E05DD"/>
    <w:rsid w:val="000E1D15"/>
    <w:rsid w:val="000E4006"/>
    <w:rsid w:val="000F3DA2"/>
    <w:rsid w:val="000F5FDE"/>
    <w:rsid w:val="000F7466"/>
    <w:rsid w:val="0013000E"/>
    <w:rsid w:val="00133F81"/>
    <w:rsid w:val="00135943"/>
    <w:rsid w:val="001645FB"/>
    <w:rsid w:val="00167D95"/>
    <w:rsid w:val="00170D26"/>
    <w:rsid w:val="00173D2B"/>
    <w:rsid w:val="00181676"/>
    <w:rsid w:val="00182202"/>
    <w:rsid w:val="00183603"/>
    <w:rsid w:val="00194BA1"/>
    <w:rsid w:val="00194E78"/>
    <w:rsid w:val="0019707B"/>
    <w:rsid w:val="00197E8B"/>
    <w:rsid w:val="00197FA4"/>
    <w:rsid w:val="001A161A"/>
    <w:rsid w:val="001A3B79"/>
    <w:rsid w:val="001A66B6"/>
    <w:rsid w:val="001B4716"/>
    <w:rsid w:val="001B4EA4"/>
    <w:rsid w:val="001C1AC3"/>
    <w:rsid w:val="001C4024"/>
    <w:rsid w:val="001C7C52"/>
    <w:rsid w:val="001D25F3"/>
    <w:rsid w:val="001E15F1"/>
    <w:rsid w:val="001E16FA"/>
    <w:rsid w:val="001E6213"/>
    <w:rsid w:val="001F14C7"/>
    <w:rsid w:val="001F509F"/>
    <w:rsid w:val="001F7405"/>
    <w:rsid w:val="002032D6"/>
    <w:rsid w:val="00205533"/>
    <w:rsid w:val="00206ADA"/>
    <w:rsid w:val="00212B8D"/>
    <w:rsid w:val="00222983"/>
    <w:rsid w:val="00235BED"/>
    <w:rsid w:val="002370D0"/>
    <w:rsid w:val="002512B9"/>
    <w:rsid w:val="00255958"/>
    <w:rsid w:val="002574F2"/>
    <w:rsid w:val="00257FA2"/>
    <w:rsid w:val="0026574A"/>
    <w:rsid w:val="002660BB"/>
    <w:rsid w:val="00271D3E"/>
    <w:rsid w:val="002720E8"/>
    <w:rsid w:val="00275293"/>
    <w:rsid w:val="002776B0"/>
    <w:rsid w:val="00286C7E"/>
    <w:rsid w:val="00291F9C"/>
    <w:rsid w:val="002A1029"/>
    <w:rsid w:val="002A3A1A"/>
    <w:rsid w:val="002A3AFC"/>
    <w:rsid w:val="002A4692"/>
    <w:rsid w:val="002A51BA"/>
    <w:rsid w:val="002B2E26"/>
    <w:rsid w:val="002B3FE6"/>
    <w:rsid w:val="002C2D81"/>
    <w:rsid w:val="002C461E"/>
    <w:rsid w:val="002C6CEC"/>
    <w:rsid w:val="002D4B5D"/>
    <w:rsid w:val="002D6ADB"/>
    <w:rsid w:val="002E09CE"/>
    <w:rsid w:val="002E69D1"/>
    <w:rsid w:val="002F3BA6"/>
    <w:rsid w:val="002F461A"/>
    <w:rsid w:val="00315320"/>
    <w:rsid w:val="00325776"/>
    <w:rsid w:val="00325E27"/>
    <w:rsid w:val="0032795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834F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FA"/>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391"/>
    <w:rsid w:val="00523F1D"/>
    <w:rsid w:val="00527BFB"/>
    <w:rsid w:val="00532A32"/>
    <w:rsid w:val="0053434F"/>
    <w:rsid w:val="00540B0B"/>
    <w:rsid w:val="0054460F"/>
    <w:rsid w:val="005536CD"/>
    <w:rsid w:val="00554051"/>
    <w:rsid w:val="00557240"/>
    <w:rsid w:val="005651F3"/>
    <w:rsid w:val="00572184"/>
    <w:rsid w:val="00577A15"/>
    <w:rsid w:val="00580533"/>
    <w:rsid w:val="0059131D"/>
    <w:rsid w:val="005B3F92"/>
    <w:rsid w:val="005B479C"/>
    <w:rsid w:val="005B561E"/>
    <w:rsid w:val="005C0397"/>
    <w:rsid w:val="005C07E4"/>
    <w:rsid w:val="005C2124"/>
    <w:rsid w:val="005C336F"/>
    <w:rsid w:val="005C7F3C"/>
    <w:rsid w:val="005E017C"/>
    <w:rsid w:val="005E50C6"/>
    <w:rsid w:val="005F2A97"/>
    <w:rsid w:val="005F399B"/>
    <w:rsid w:val="006019F8"/>
    <w:rsid w:val="00605B20"/>
    <w:rsid w:val="00607C8D"/>
    <w:rsid w:val="0061156F"/>
    <w:rsid w:val="00613FF5"/>
    <w:rsid w:val="006155A8"/>
    <w:rsid w:val="00621B94"/>
    <w:rsid w:val="00621F0E"/>
    <w:rsid w:val="00626239"/>
    <w:rsid w:val="00635316"/>
    <w:rsid w:val="00635449"/>
    <w:rsid w:val="006378C5"/>
    <w:rsid w:val="0064233E"/>
    <w:rsid w:val="00643008"/>
    <w:rsid w:val="00645E6A"/>
    <w:rsid w:val="00665CBC"/>
    <w:rsid w:val="00667A5C"/>
    <w:rsid w:val="00671353"/>
    <w:rsid w:val="0067443D"/>
    <w:rsid w:val="006771FC"/>
    <w:rsid w:val="00677316"/>
    <w:rsid w:val="00686AEB"/>
    <w:rsid w:val="00697264"/>
    <w:rsid w:val="006A7A7F"/>
    <w:rsid w:val="006B08F6"/>
    <w:rsid w:val="006B7897"/>
    <w:rsid w:val="006B7FA7"/>
    <w:rsid w:val="006C003A"/>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42C2D"/>
    <w:rsid w:val="007502CB"/>
    <w:rsid w:val="00752D79"/>
    <w:rsid w:val="00752E20"/>
    <w:rsid w:val="00756EDE"/>
    <w:rsid w:val="00766DB8"/>
    <w:rsid w:val="00781B4D"/>
    <w:rsid w:val="007824BF"/>
    <w:rsid w:val="00783B8D"/>
    <w:rsid w:val="0079470A"/>
    <w:rsid w:val="00794B94"/>
    <w:rsid w:val="00794BD4"/>
    <w:rsid w:val="007A2F73"/>
    <w:rsid w:val="007A3061"/>
    <w:rsid w:val="007A5A0B"/>
    <w:rsid w:val="007C0E14"/>
    <w:rsid w:val="007C7DE4"/>
    <w:rsid w:val="007D40CB"/>
    <w:rsid w:val="007D5796"/>
    <w:rsid w:val="007D59C0"/>
    <w:rsid w:val="007D7D9C"/>
    <w:rsid w:val="007F485D"/>
    <w:rsid w:val="007F6050"/>
    <w:rsid w:val="00803649"/>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86F7F"/>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9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13C6B"/>
    <w:rsid w:val="00A2141F"/>
    <w:rsid w:val="00A222C2"/>
    <w:rsid w:val="00A23189"/>
    <w:rsid w:val="00A305D6"/>
    <w:rsid w:val="00A342C4"/>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C30"/>
    <w:rsid w:val="00B732BC"/>
    <w:rsid w:val="00B822FE"/>
    <w:rsid w:val="00B86E4E"/>
    <w:rsid w:val="00B90E33"/>
    <w:rsid w:val="00B932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27"/>
    <w:rsid w:val="00C04F4D"/>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2E86"/>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64ED8"/>
    <w:rsid w:val="00D9410B"/>
    <w:rsid w:val="00D95C77"/>
    <w:rsid w:val="00D9695B"/>
    <w:rsid w:val="00DA2417"/>
    <w:rsid w:val="00DA377E"/>
    <w:rsid w:val="00DA5585"/>
    <w:rsid w:val="00DB02AC"/>
    <w:rsid w:val="00DB6AA2"/>
    <w:rsid w:val="00DC7786"/>
    <w:rsid w:val="00DE10D1"/>
    <w:rsid w:val="00DE2514"/>
    <w:rsid w:val="00DE6851"/>
    <w:rsid w:val="00DF03EE"/>
    <w:rsid w:val="00E01B71"/>
    <w:rsid w:val="00E04D46"/>
    <w:rsid w:val="00E05CC9"/>
    <w:rsid w:val="00E15573"/>
    <w:rsid w:val="00E25A5B"/>
    <w:rsid w:val="00E36786"/>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46166"/>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E2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A0E61-2F12-4FC8-8193-525FFFA5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688</Words>
  <Characters>3547</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A4002 2R</vt:lpstr>
    </vt:vector>
  </TitlesOfParts>
  <Manager>R229</Manager>
  <Company>NJ Office of Legislative Services</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 2R</dc:title>
  <dc:subject/>
  <dc:creator>Assemblymen  CAPUTO and DANCER</dc:creator>
  <cp:keywords>A4002|3|SG |310|76|328|!||</cp:keywords>
  <dc:description>INTRODUCED MAY 4, 2020_x000d_
AMENDED JUNE 3, 2021_x000d_
AMENDED BY CV NOVEMBER 8, 2021</dc:description>
  <cp:lastModifiedBy>Bell, Careema</cp:lastModifiedBy>
  <cp:revision>2</cp:revision>
  <cp:lastPrinted>2021-11-09T19:06:00Z</cp:lastPrinted>
  <dcterms:created xsi:type="dcterms:W3CDTF">2021-11-09T19:09:00Z</dcterms:created>
  <dcterms:modified xsi:type="dcterms:W3CDTF">2021-11-09T19:09:00Z</dcterms:modified>
  <cp:category>s.1: C.5:12A-16.1_x000d_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