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5F19" w:rsidRDefault="00CC5F19" w:rsidP="00CC5F19">
      <w:pPr>
        <w:pStyle w:val="bpuReprint"/>
      </w:pPr>
      <w:bookmarkStart w:id="0" w:name="bpuFrontPg"/>
      <w:bookmarkEnd w:id="0"/>
      <w:r>
        <w:t>[First Reprint]</w:t>
      </w:r>
    </w:p>
    <w:p w:rsidR="00A8542C" w:rsidRDefault="00A8542C" w:rsidP="00A8542C">
      <w:pPr>
        <w:pStyle w:val="bpuBill"/>
      </w:pPr>
      <w:r>
        <w:t xml:space="preserve">ASSEMBLY, No. 4003 </w:t>
      </w:r>
    </w:p>
    <w:p w:rsidR="00A8542C" w:rsidRPr="009D38FF" w:rsidRDefault="00A8542C" w:rsidP="00A8542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503846" r:id="rId7"/>
        </w:object>
      </w:r>
    </w:p>
    <w:p w:rsidR="00A8542C" w:rsidRDefault="00A8542C" w:rsidP="00A8542C">
      <w:pPr>
        <w:pStyle w:val="bpuState"/>
      </w:pPr>
      <w:r>
        <w:t>STATE OF NEW JERSEY</w:t>
      </w:r>
    </w:p>
    <w:p w:rsidR="00A8542C" w:rsidRDefault="00A8542C" w:rsidP="00A8542C">
      <w:pPr>
        <w:pStyle w:val="bpuLegislature"/>
      </w:pPr>
      <w:r>
        <w:t>219th LEGISLATURE</w:t>
      </w:r>
    </w:p>
    <w:p w:rsidR="00A8542C" w:rsidRDefault="00A8542C" w:rsidP="00A8542C">
      <w:pPr>
        <w:pStyle w:val="bpuWpGraphic"/>
      </w:pPr>
      <w:r>
        <w:object w:dxaOrig="8985" w:dyaOrig="255">
          <v:shape id="_x0000_i1026" type="#_x0000_t75" style="width:6in;height:12pt" o:ole="">
            <v:imagedata r:id="rId6" o:title=""/>
          </v:shape>
          <o:OLEObject Type="Embed" ProgID="WPWin6.1" ShapeID="_x0000_i1026" DrawAspect="Content" ObjectID="_1654503847" r:id="rId8"/>
        </w:object>
      </w:r>
      <w:r>
        <w:t xml:space="preserve">  </w:t>
      </w:r>
    </w:p>
    <w:p w:rsidR="00A8542C" w:rsidRDefault="00A8542C" w:rsidP="00A8542C">
      <w:pPr>
        <w:pStyle w:val="bpuIntro"/>
      </w:pPr>
      <w:r>
        <w:t>INTRODUCED MAY 4, 2020</w:t>
      </w:r>
    </w:p>
    <w:p w:rsidR="00A8542C" w:rsidRDefault="00A8542C" w:rsidP="00A8542C">
      <w:pPr>
        <w:pStyle w:val="bpuIntro"/>
      </w:pPr>
    </w:p>
    <w:p w:rsidR="00A8542C" w:rsidRDefault="00A8542C" w:rsidP="00A8542C">
      <w:pPr>
        <w:pStyle w:val="bpuIntro"/>
        <w:sectPr w:rsidR="00A8542C" w:rsidSect="000F250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8542C" w:rsidRDefault="00A8542C" w:rsidP="00A8542C">
      <w:pPr>
        <w:pStyle w:val="bpuIntro"/>
      </w:pPr>
    </w:p>
    <w:p w:rsidR="00A8542C" w:rsidRDefault="00A8542C" w:rsidP="00A8542C">
      <w:pPr>
        <w:pStyle w:val="bpuSponsor"/>
      </w:pPr>
      <w:r>
        <w:t>Sponsored by:</w:t>
      </w:r>
    </w:p>
    <w:p w:rsidR="00A8542C" w:rsidRDefault="00A8542C" w:rsidP="00A8542C">
      <w:pPr>
        <w:pStyle w:val="bpuSponsor"/>
      </w:pPr>
      <w:r>
        <w:t>Assemblyman  HERB CONAWAY, JR.</w:t>
      </w:r>
    </w:p>
    <w:p w:rsidR="00A8542C" w:rsidRDefault="00A8542C" w:rsidP="00A8542C">
      <w:pPr>
        <w:pStyle w:val="bpuSponsor"/>
      </w:pPr>
      <w:r>
        <w:t>District 7 (Burlington)</w:t>
      </w:r>
    </w:p>
    <w:p w:rsidR="00A8542C" w:rsidRDefault="00A8542C" w:rsidP="00A8542C">
      <w:pPr>
        <w:pStyle w:val="bpuSponsor"/>
      </w:pPr>
      <w:r>
        <w:t>Assemblywoman  ANGELICA M. JIMENEZ</w:t>
      </w:r>
    </w:p>
    <w:p w:rsidR="00A8542C" w:rsidRDefault="00A8542C" w:rsidP="00A8542C">
      <w:pPr>
        <w:pStyle w:val="bpuSponsor"/>
      </w:pPr>
      <w:r>
        <w:t>District 32 (Bergen and Hudson)</w:t>
      </w:r>
    </w:p>
    <w:p w:rsidR="00A8542C" w:rsidRDefault="000F250A" w:rsidP="000F250A">
      <w:pPr>
        <w:pStyle w:val="bpuSponsor"/>
      </w:pPr>
      <w:r>
        <w:t>Assemblywoman  VALERIE VAINIERI HUTTLE</w:t>
      </w:r>
    </w:p>
    <w:p w:rsidR="000F250A" w:rsidRDefault="000F250A" w:rsidP="000F250A">
      <w:pPr>
        <w:pStyle w:val="bpuSponsor"/>
      </w:pPr>
      <w:r>
        <w:t>District 37 (Bergen)</w:t>
      </w:r>
    </w:p>
    <w:p w:rsidR="000F250A" w:rsidRPr="000F250A" w:rsidRDefault="000F250A" w:rsidP="000F250A">
      <w:pPr>
        <w:pStyle w:val="bpuSponsor"/>
      </w:pPr>
    </w:p>
    <w:p w:rsidR="00A8542C" w:rsidRDefault="00A8542C" w:rsidP="00A8542C">
      <w:pPr>
        <w:pStyle w:val="bpuSponsor"/>
      </w:pPr>
    </w:p>
    <w:p w:rsidR="00A8542C" w:rsidRDefault="00A8542C" w:rsidP="00A8542C">
      <w:pPr>
        <w:pStyle w:val="bpuSponsor"/>
      </w:pPr>
    </w:p>
    <w:p w:rsidR="00A8542C" w:rsidRDefault="00A8542C" w:rsidP="00A8542C">
      <w:pPr>
        <w:pStyle w:val="bpuSponsor"/>
      </w:pPr>
    </w:p>
    <w:p w:rsidR="00A8542C" w:rsidRDefault="00A8542C" w:rsidP="00A8542C">
      <w:pPr>
        <w:pStyle w:val="bpuSponsor"/>
      </w:pPr>
      <w:r>
        <w:t>SYNOPSIS</w:t>
      </w:r>
    </w:p>
    <w:p w:rsidR="00A8542C" w:rsidRDefault="00A8542C" w:rsidP="00A8542C">
      <w:pPr>
        <w:pStyle w:val="bpuNormText"/>
      </w:pPr>
      <w:r>
        <w:tab/>
        <w:t xml:space="preserve">Restricts use of restrictive employment covenants for physicians and nurses. </w:t>
      </w:r>
    </w:p>
    <w:p w:rsidR="00A8542C" w:rsidRDefault="00A8542C" w:rsidP="00A8542C">
      <w:pPr>
        <w:pStyle w:val="bpuNormText"/>
      </w:pPr>
    </w:p>
    <w:p w:rsidR="00A8542C" w:rsidRDefault="00A8542C" w:rsidP="00A8542C">
      <w:pPr>
        <w:pStyle w:val="bpuSponsor"/>
      </w:pPr>
      <w:r>
        <w:t xml:space="preserve">CURRENT VERSION OF TEXT </w:t>
      </w:r>
    </w:p>
    <w:p w:rsidR="00A8542C" w:rsidRDefault="00CC5F19" w:rsidP="00A8542C">
      <w:pPr>
        <w:pStyle w:val="bpuNormText"/>
      </w:pPr>
      <w:r>
        <w:tab/>
        <w:t>As reported by the Assembly Health Committee on June 22, 2020, with amendments.</w:t>
      </w:r>
    </w:p>
    <w:p w:rsidR="00A8542C" w:rsidRDefault="00A8542C" w:rsidP="00A8542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8542C" w:rsidRDefault="00A8542C" w:rsidP="008916EC">
      <w:pPr>
        <w:pStyle w:val="FronterPage"/>
        <w:tabs>
          <w:tab w:val="clear" w:pos="720"/>
          <w:tab w:val="clear" w:pos="1440"/>
          <w:tab w:val="clear" w:pos="2160"/>
          <w:tab w:val="clear" w:pos="2880"/>
          <w:tab w:val="clear" w:pos="3600"/>
          <w:tab w:val="clear" w:pos="4320"/>
          <w:tab w:val="clear" w:pos="5040"/>
        </w:tabs>
        <w:sectPr w:rsidR="00A8542C" w:rsidSect="00A8542C">
          <w:type w:val="continuous"/>
          <w:pgSz w:w="12240" w:h="20160" w:code="5"/>
          <w:pgMar w:top="1440" w:right="2275" w:bottom="1440" w:left="2275" w:header="72" w:footer="720" w:gutter="0"/>
          <w:pgNumType w:start="1"/>
          <w:cols w:space="720"/>
          <w:docGrid w:linePitch="360"/>
        </w:sectPr>
      </w:pPr>
    </w:p>
    <w:p w:rsidR="00686AEB" w:rsidRPr="00677316" w:rsidRDefault="004F149F" w:rsidP="003E47BA">
      <w:pPr>
        <w:pStyle w:val="HangingAnAct"/>
        <w:rPr>
          <w:rStyle w:val="HangingAnActChar"/>
        </w:rPr>
      </w:pPr>
      <w:r>
        <w:rPr>
          <w:rStyle w:val="BillHead"/>
        </w:rPr>
        <w:lastRenderedPageBreak/>
        <w:t>An Act</w:t>
      </w:r>
      <w:r w:rsidR="00686AEB" w:rsidRPr="006B7FA7">
        <w:rPr>
          <w:rStyle w:val="HangingAnActChar"/>
        </w:rPr>
        <w:t xml:space="preserve"> </w:t>
      </w:r>
      <w:r w:rsidR="001336F4">
        <w:t>concerning health care professionals and supplementing Title 45 of the Revised Statutes.</w:t>
      </w:r>
    </w:p>
    <w:p w:rsidR="000B1054" w:rsidRPr="00D71D68" w:rsidRDefault="000B1054" w:rsidP="000B1054"/>
    <w:p w:rsidR="00686AEB" w:rsidRPr="00AA7880" w:rsidRDefault="00686AEB" w:rsidP="00686AEB">
      <w:r>
        <w:tab/>
      </w:r>
      <w:r w:rsidR="004F149F">
        <w:rPr>
          <w:rStyle w:val="BillHeading2"/>
        </w:rPr>
        <w:t>Be It Enacted</w:t>
      </w:r>
      <w:r>
        <w:rPr>
          <w:rStyle w:val="BillHeading2"/>
        </w:rPr>
        <w:t xml:space="preserve"> </w:t>
      </w:r>
      <w:r w:rsidR="004F149F">
        <w:rPr>
          <w:rStyle w:val="BillLanguage"/>
        </w:rPr>
        <w:t>by the Senate and General Assembly of the State of New Jersey:</w:t>
      </w:r>
    </w:p>
    <w:p w:rsidR="00686AEB" w:rsidRDefault="00686AEB" w:rsidP="00686AEB"/>
    <w:p w:rsidR="005D2B4E" w:rsidRDefault="005D2B4E" w:rsidP="005D2B4E">
      <w:r>
        <w:tab/>
        <w:t>1.</w:t>
      </w:r>
      <w:r>
        <w:tab/>
        <w:t>a.  Except as provided in subsection b. of this section, any contract or agreement that creates or establishes the terms of a partnership, employment, or other form of professional relationship with a licensed physician, which includes any restriction of the right of the physician to practice medicine in any geographic area for any period of time after termination of the partnership, employment, or professional relationship, shall be void and unenforceable with respect to the restriction.</w:t>
      </w:r>
    </w:p>
    <w:p w:rsidR="005D2B4E" w:rsidRDefault="005D2B4E" w:rsidP="005D2B4E">
      <w:r>
        <w:tab/>
        <w:t>b.</w:t>
      </w:r>
      <w:r>
        <w:tab/>
        <w:t>Nothing in this section shall be construed to render void or unenforceable:</w:t>
      </w:r>
    </w:p>
    <w:p w:rsidR="005D2B4E" w:rsidRDefault="005D2B4E" w:rsidP="005D2B4E">
      <w:r>
        <w:tab/>
        <w:t>(1)</w:t>
      </w:r>
      <w:r>
        <w:tab/>
        <w:t xml:space="preserve">a restrictive covenant that prohibits a physician from leaving a hospital system or a group practice comprising 30 or more physicians to join any other hospital system or group practice comprising 30 or more physicians within a given geographic area; </w:t>
      </w:r>
    </w:p>
    <w:p w:rsidR="005D2B4E" w:rsidRDefault="005D2B4E" w:rsidP="005D2B4E">
      <w:pPr>
        <w:rPr>
          <w:u w:val="single"/>
        </w:rPr>
      </w:pPr>
      <w:r>
        <w:tab/>
      </w:r>
      <w:r>
        <w:rPr>
          <w:rFonts w:ascii="Albertus Extra Bold" w:hAnsi="Albertus Extra Bold"/>
          <w:b/>
          <w:vertAlign w:val="superscript"/>
        </w:rPr>
        <w:t>1</w:t>
      </w:r>
      <w:r w:rsidR="00481D3D">
        <w:rPr>
          <w:u w:val="single"/>
        </w:rPr>
        <w:t xml:space="preserve">(2) </w:t>
      </w:r>
      <w:r w:rsidRPr="000E2853">
        <w:rPr>
          <w:u w:val="single"/>
        </w:rPr>
        <w:t>a restrictive covenant that prohibits a physician from leaving a hospital system or a group practice comprising 30 or fewer physicians to join any other hospital system or group practice comprising 30 or fewer physicians within a given geographic area;</w:t>
      </w:r>
    </w:p>
    <w:p w:rsidR="005D2B4E" w:rsidRPr="002377AF" w:rsidRDefault="005D2B4E" w:rsidP="005D2B4E">
      <w:pPr>
        <w:rPr>
          <w:u w:val="single"/>
        </w:rPr>
      </w:pPr>
      <w:r>
        <w:tab/>
      </w:r>
      <w:r w:rsidR="00481D3D">
        <w:rPr>
          <w:u w:val="single"/>
        </w:rPr>
        <w:t>(3)</w:t>
      </w:r>
      <w:r w:rsidR="00481D3D">
        <w:rPr>
          <w:u w:val="single"/>
        </w:rPr>
        <w:tab/>
      </w:r>
      <w:r>
        <w:rPr>
          <w:u w:val="single"/>
        </w:rPr>
        <w:t xml:space="preserve">a restrictive covenant that prohibits a physician from leaving a </w:t>
      </w:r>
      <w:r w:rsidRPr="002854D7">
        <w:rPr>
          <w:u w:val="single"/>
        </w:rPr>
        <w:t>fe</w:t>
      </w:r>
      <w:r>
        <w:rPr>
          <w:u w:val="single"/>
        </w:rPr>
        <w:t xml:space="preserve">derally qualified health center to practice medicine within a five mile radius of </w:t>
      </w:r>
      <w:r w:rsidRPr="002854D7">
        <w:rPr>
          <w:u w:val="single"/>
        </w:rPr>
        <w:t>fe</w:t>
      </w:r>
      <w:r>
        <w:rPr>
          <w:u w:val="single"/>
        </w:rPr>
        <w:t>derally qualified health center for a period of time that is no longer than four years;</w:t>
      </w:r>
    </w:p>
    <w:p w:rsidR="005D2B4E" w:rsidRDefault="005D2B4E" w:rsidP="005D2B4E">
      <w:r w:rsidRPr="000E2853">
        <w:tab/>
      </w:r>
      <w:r>
        <w:rPr>
          <w:u w:val="single"/>
        </w:rPr>
        <w:t>(4)</w:t>
      </w:r>
      <w:r>
        <w:rPr>
          <w:u w:val="single"/>
        </w:rPr>
        <w:tab/>
        <w:t>a restrictive covenant that prohibits a physician from leaving a hospital system or a group practice when the hospital system or group practice provided the physician a unique incentive to join the hospital system or group practice, which incentive is expressly identified in the contract between the physician and the hospital system or group practice;</w:t>
      </w:r>
      <w:r>
        <w:rPr>
          <w:rFonts w:ascii="Albertus Extra Bold" w:hAnsi="Albertus Extra Bold"/>
          <w:b/>
          <w:vertAlign w:val="superscript"/>
        </w:rPr>
        <w:t>1</w:t>
      </w:r>
      <w:r>
        <w:t xml:space="preserve"> or </w:t>
      </w:r>
    </w:p>
    <w:p w:rsidR="005D2B4E" w:rsidRDefault="005D2B4E" w:rsidP="005D2B4E">
      <w:r>
        <w:tab/>
      </w:r>
      <w:r>
        <w:rPr>
          <w:rFonts w:ascii="Albertus Extra Bold" w:hAnsi="Albertus Extra Bold"/>
          <w:b/>
          <w:vertAlign w:val="superscript"/>
        </w:rPr>
        <w:t>1</w:t>
      </w:r>
      <w:r w:rsidRPr="0061537A">
        <w:rPr>
          <w:rFonts w:ascii="Albertus Extra Bold" w:hAnsi="Albertus Extra Bold"/>
          <w:b/>
        </w:rPr>
        <w:t>[</w:t>
      </w:r>
      <w:r>
        <w:t>(2)</w:t>
      </w:r>
      <w:r w:rsidRPr="0061537A">
        <w:rPr>
          <w:rFonts w:ascii="Albertus Extra Bold" w:hAnsi="Albertus Extra Bold"/>
          <w:b/>
        </w:rPr>
        <w:t>]</w:t>
      </w:r>
      <w:r>
        <w:t xml:space="preserve"> </w:t>
      </w:r>
      <w:r>
        <w:rPr>
          <w:u w:val="single"/>
        </w:rPr>
        <w:t>(5)</w:t>
      </w:r>
      <w:r>
        <w:rPr>
          <w:rFonts w:ascii="Albertus Extra Bold" w:hAnsi="Albertus Extra Bold"/>
          <w:b/>
          <w:vertAlign w:val="superscript"/>
        </w:rPr>
        <w:t>1</w:t>
      </w:r>
      <w:r>
        <w:t xml:space="preserve"> any remaining provisions of the contract or agreement that do not establish a restriction on the right to practice medicine in a geographic area.</w:t>
      </w:r>
    </w:p>
    <w:p w:rsidR="005D2B4E" w:rsidRPr="004249F0" w:rsidRDefault="005D2B4E" w:rsidP="005D2B4E">
      <w:pPr>
        <w:rPr>
          <w:u w:val="single"/>
        </w:rPr>
      </w:pPr>
      <w:r>
        <w:tab/>
      </w:r>
      <w:r>
        <w:rPr>
          <w:rFonts w:ascii="Albertus Extra Bold" w:hAnsi="Albertus Extra Bold"/>
          <w:b/>
          <w:vertAlign w:val="superscript"/>
        </w:rPr>
        <w:t>1</w:t>
      </w:r>
      <w:r w:rsidR="00481D3D">
        <w:rPr>
          <w:u w:val="single"/>
        </w:rPr>
        <w:t>c.</w:t>
      </w:r>
      <w:r w:rsidR="00481D3D">
        <w:rPr>
          <w:u w:val="single"/>
        </w:rPr>
        <w:tab/>
      </w:r>
      <w:r>
        <w:rPr>
          <w:u w:val="single"/>
        </w:rPr>
        <w:t>For the purposes of paragraph (2) of subsection b. of this section, the term “unique incentive” may include, but shall not be limited to, commencing a new program or service, opening a new laboratory, providing a signing bonus of more than $50,000, or, in the case of a hospital system, opening a new practice group.</w:t>
      </w:r>
      <w:r>
        <w:rPr>
          <w:rFonts w:ascii="Albertus Extra Bold" w:hAnsi="Albertus Extra Bold"/>
          <w:b/>
          <w:vertAlign w:val="superscript"/>
        </w:rPr>
        <w:t>1</w:t>
      </w:r>
    </w:p>
    <w:p w:rsidR="00602993" w:rsidRDefault="00602993" w:rsidP="00686AEB"/>
    <w:p w:rsidR="00602993" w:rsidRPr="005802DB" w:rsidRDefault="00602993" w:rsidP="00686AEB">
      <w:pPr>
        <w:rPr>
          <w:rFonts w:ascii="Albertus Extra Bold" w:hAnsi="Albertus Extra Bold"/>
          <w:b/>
          <w:vertAlign w:val="superscript"/>
        </w:rPr>
      </w:pPr>
      <w:r>
        <w:tab/>
      </w:r>
      <w:r w:rsidR="005802DB">
        <w:rPr>
          <w:rFonts w:ascii="Albertus Extra Bold" w:hAnsi="Albertus Extra Bold"/>
          <w:b/>
          <w:vertAlign w:val="superscript"/>
        </w:rPr>
        <w:t>1</w:t>
      </w:r>
      <w:r w:rsidR="005802DB" w:rsidRPr="005802DB">
        <w:rPr>
          <w:rFonts w:ascii="Albertus Extra Bold" w:hAnsi="Albertus Extra Bold"/>
          <w:b/>
        </w:rPr>
        <w:t>[</w:t>
      </w:r>
      <w:r>
        <w:t>2.</w:t>
      </w:r>
      <w:r w:rsidR="005802DB">
        <w:t xml:space="preserve">  </w:t>
      </w:r>
      <w:r w:rsidR="00155EA5">
        <w:t>a.  Except as provided in subsection b. of this section, a</w:t>
      </w:r>
      <w:r>
        <w:t xml:space="preserve">ny contract or agreement that creates or establishes the terms of a </w:t>
      </w:r>
      <w:r>
        <w:lastRenderedPageBreak/>
        <w:t>partnership, employment, or any other form of professional relationship with a certified nurse or advanced practice nurse, which includes any restriction of the right of the nurse to practice as a nurse in any geographical area for any period of time after the termination of the partnership, employment, or professional relationship</w:t>
      </w:r>
      <w:r w:rsidR="00035886">
        <w:t>,</w:t>
      </w:r>
      <w:r>
        <w:t xml:space="preserve"> shall be void and unenforceable with respect to the restriction; provided, however, that nothing in this section shall be construed to render void or unenforceable the remaining provisions of the contract or agreement.</w:t>
      </w:r>
      <w:r w:rsidR="005802DB" w:rsidRPr="005802DB">
        <w:rPr>
          <w:rFonts w:ascii="Albertus Extra Bold" w:hAnsi="Albertus Extra Bold"/>
          <w:b/>
        </w:rPr>
        <w:t>]</w:t>
      </w:r>
      <w:r w:rsidR="005802DB">
        <w:rPr>
          <w:rFonts w:ascii="Albertus Extra Bold" w:hAnsi="Albertus Extra Bold"/>
          <w:b/>
          <w:vertAlign w:val="superscript"/>
        </w:rPr>
        <w:t>1</w:t>
      </w:r>
    </w:p>
    <w:p w:rsidR="00602993" w:rsidRPr="00D71D68" w:rsidRDefault="00602993" w:rsidP="00686AEB"/>
    <w:p w:rsidR="001D3D0C" w:rsidRPr="00803015" w:rsidRDefault="001D3D0C" w:rsidP="001D3D0C">
      <w:pPr>
        <w:jc w:val="left"/>
        <w:rPr>
          <w:u w:val="single"/>
        </w:rPr>
      </w:pPr>
      <w:r>
        <w:tab/>
      </w:r>
      <w:r w:rsidR="00481D3D">
        <w:rPr>
          <w:rFonts w:ascii="Albertus Extra Bold" w:hAnsi="Albertus Extra Bold"/>
          <w:b/>
          <w:vertAlign w:val="superscript"/>
        </w:rPr>
        <w:t>1</w:t>
      </w:r>
      <w:r w:rsidR="0061442D" w:rsidRPr="0061442D">
        <w:rPr>
          <w:rFonts w:ascii="Albertus Extra Bold" w:hAnsi="Albertus Extra Bold"/>
          <w:b/>
        </w:rPr>
        <w:t>[</w:t>
      </w:r>
      <w:r>
        <w:t>3.</w:t>
      </w:r>
      <w:r w:rsidR="0061442D" w:rsidRPr="0061442D">
        <w:rPr>
          <w:rFonts w:ascii="Albertus Extra Bold" w:hAnsi="Albertus Extra Bold"/>
          <w:b/>
        </w:rPr>
        <w:t>]</w:t>
      </w:r>
      <w:bookmarkStart w:id="1" w:name="_GoBack"/>
      <w:bookmarkEnd w:id="1"/>
      <w:r>
        <w:t xml:space="preserve"> </w:t>
      </w:r>
      <w:r w:rsidRPr="00913509">
        <w:rPr>
          <w:u w:val="single"/>
        </w:rPr>
        <w:t>2.</w:t>
      </w:r>
      <w:r w:rsidR="00481D3D">
        <w:rPr>
          <w:rFonts w:ascii="Albertus Extra Bold" w:hAnsi="Albertus Extra Bold"/>
          <w:b/>
          <w:vertAlign w:val="superscript"/>
        </w:rPr>
        <w:t>1</w:t>
      </w:r>
      <w:r>
        <w:t xml:space="preserve">  This act shall take effect immediately, and shall apply to contracts and agreements entered into by physicians </w:t>
      </w:r>
      <w:r>
        <w:rPr>
          <w:rFonts w:ascii="Albertus Extra Bold" w:hAnsi="Albertus Extra Bold"/>
          <w:b/>
          <w:vertAlign w:val="superscript"/>
        </w:rPr>
        <w:t>1</w:t>
      </w:r>
      <w:r w:rsidRPr="00803015">
        <w:rPr>
          <w:rFonts w:ascii="Albertus Extra Bold" w:hAnsi="Albertus Extra Bold"/>
          <w:b/>
        </w:rPr>
        <w:t>[</w:t>
      </w:r>
      <w:r>
        <w:t>and nurses</w:t>
      </w:r>
      <w:r w:rsidRPr="00803015">
        <w:rPr>
          <w:rFonts w:ascii="Albertus Extra Bold" w:hAnsi="Albertus Extra Bold"/>
          <w:b/>
        </w:rPr>
        <w:t>]</w:t>
      </w:r>
      <w:r>
        <w:rPr>
          <w:rFonts w:ascii="Albertus Extra Bold" w:hAnsi="Albertus Extra Bold"/>
          <w:b/>
          <w:vertAlign w:val="superscript"/>
        </w:rPr>
        <w:t>1</w:t>
      </w:r>
      <w:r>
        <w:t xml:space="preserve"> on or after the effective date of this act.</w:t>
      </w:r>
    </w:p>
    <w:sectPr w:rsidR="001D3D0C" w:rsidRPr="00803015" w:rsidSect="00481D3D">
      <w:headerReference w:type="default" r:id="rId13"/>
      <w:footerReference w:type="default" r:id="rId14"/>
      <w:headerReference w:type="first" r:id="rId15"/>
      <w:footerReference w:type="first" r:id="rId16"/>
      <w:pgSz w:w="12240" w:h="20160" w:code="5"/>
      <w:pgMar w:top="1440" w:right="2520" w:bottom="1872" w:left="2880" w:header="1181" w:footer="9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0E4C" w:rsidRDefault="00360E4C">
      <w:r>
        <w:separator/>
      </w:r>
    </w:p>
  </w:endnote>
  <w:endnote w:type="continuationSeparator" w:id="0">
    <w:p w:rsidR="00360E4C" w:rsidRDefault="00360E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50A" w:rsidRDefault="000F250A" w:rsidP="000F250A">
    <w:pPr>
      <w:pStyle w:val="sponUdate"/>
    </w:pPr>
    <w:r>
      <w:t>(Sponsorship Updated As Of: 5/7/2020)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5F19" w:rsidRPr="00921C91" w:rsidRDefault="00CC5F1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C5F19" w:rsidRPr="00921C91" w:rsidRDefault="00CC5F19">
    <w:pPr>
      <w:pStyle w:val="Footer"/>
      <w:rPr>
        <w:szCs w:val="18"/>
      </w:rPr>
    </w:pPr>
  </w:p>
  <w:p w:rsidR="00CC5F19" w:rsidRPr="00921C91" w:rsidRDefault="00CC5F1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C5F19" w:rsidRDefault="00CC5F19" w:rsidP="00686AEB">
    <w:pPr>
      <w:pStyle w:val="Footer"/>
    </w:pPr>
    <w:r>
      <w:tab/>
      <w:t>Matter enclosed in superscript numerals has been adopted as follows:</w:t>
    </w:r>
  </w:p>
  <w:p w:rsidR="00CC5F19" w:rsidRDefault="00CC5F1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June 22, 2020.</w:t>
    </w:r>
  </w:p>
  <w:p w:rsidR="00CC5F19" w:rsidRPr="00CC5F19" w:rsidRDefault="00CC5F1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0E4C" w:rsidRDefault="00360E4C">
      <w:r>
        <w:separator/>
      </w:r>
    </w:p>
  </w:footnote>
  <w:footnote w:type="continuationSeparator" w:id="0">
    <w:p w:rsidR="00360E4C" w:rsidRDefault="00360E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54B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8542C" w:rsidRDefault="00A8542C" w:rsidP="00A8542C">
    <w:pPr>
      <w:pStyle w:val="bpuHeadSpon"/>
    </w:pPr>
    <w:r w:rsidRPr="00A8542C">
      <w:rPr>
        <w:rStyle w:val="bpuHeadSponChar"/>
      </w:rPr>
      <w:t>A4003</w:t>
    </w:r>
    <w:r>
      <w:t xml:space="preserve"> </w:t>
    </w:r>
    <w:r w:rsidR="00CC5F19">
      <w:t xml:space="preserve">[1R] </w:t>
    </w:r>
    <w:r>
      <w:t>CONAWAY, JIMENEZ</w:t>
    </w:r>
  </w:p>
  <w:p w:rsidR="00A8542C" w:rsidRDefault="00A8542C" w:rsidP="00A8542C">
    <w:pPr>
      <w:pStyle w:val="bpuHeadSpon"/>
    </w:pPr>
    <w:r>
      <w:fldChar w:fldCharType="begin"/>
    </w:r>
    <w:r>
      <w:instrText xml:space="preserve"> PAGE  \* MERGEFORMAT </w:instrText>
    </w:r>
    <w:r>
      <w:fldChar w:fldCharType="separate"/>
    </w:r>
    <w:r w:rsidR="00954B7D">
      <w:rPr>
        <w:noProof/>
      </w:rPr>
      <w:t>3</w:t>
    </w:r>
    <w:r>
      <w:fldChar w:fldCharType="end"/>
    </w:r>
  </w:p>
  <w:p w:rsidR="00A8542C" w:rsidRDefault="00A8542C" w:rsidP="00A854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8542C" w:rsidRDefault="00A8542C" w:rsidP="00A8542C">
    <w:pPr>
      <w:pStyle w:val="bpuHeadSpon"/>
    </w:pPr>
    <w:r w:rsidRPr="00A8542C">
      <w:rPr>
        <w:rStyle w:val="bpuHeadSponChar"/>
      </w:rPr>
      <w:t>A4003</w:t>
    </w:r>
    <w:r>
      <w:t xml:space="preserve"> </w:t>
    </w:r>
    <w:r w:rsidR="00CC5F19">
      <w:t xml:space="preserve">[1R] </w:t>
    </w:r>
    <w:r>
      <w:t>CONAWAY, JIMENEZ</w:t>
    </w:r>
  </w:p>
  <w:p w:rsidR="00A8542C" w:rsidRDefault="00A8542C" w:rsidP="00A8542C">
    <w:pPr>
      <w:pStyle w:val="bpuHeadSpon"/>
    </w:pPr>
    <w:r>
      <w:fldChar w:fldCharType="begin"/>
    </w:r>
    <w:r>
      <w:instrText xml:space="preserve"> PAGE  \* MERGEFORMAT </w:instrText>
    </w:r>
    <w:r>
      <w:fldChar w:fldCharType="separate"/>
    </w:r>
    <w:r w:rsidR="00954B7D">
      <w:rPr>
        <w:noProof/>
      </w:rPr>
      <w:t>2</w:t>
    </w:r>
    <w:r>
      <w:fldChar w:fldCharType="end"/>
    </w:r>
  </w:p>
  <w:p w:rsidR="00A8542C" w:rsidRDefault="00A8542C" w:rsidP="00A854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E4C"/>
    <w:rsid w:val="000051BD"/>
    <w:rsid w:val="000160A5"/>
    <w:rsid w:val="0002335B"/>
    <w:rsid w:val="0003549A"/>
    <w:rsid w:val="00035886"/>
    <w:rsid w:val="000367AE"/>
    <w:rsid w:val="00043B22"/>
    <w:rsid w:val="00054975"/>
    <w:rsid w:val="00057D20"/>
    <w:rsid w:val="0006197C"/>
    <w:rsid w:val="0006281F"/>
    <w:rsid w:val="0008141C"/>
    <w:rsid w:val="000948AB"/>
    <w:rsid w:val="00094A55"/>
    <w:rsid w:val="000A44A7"/>
    <w:rsid w:val="000B1054"/>
    <w:rsid w:val="000B3411"/>
    <w:rsid w:val="000C054C"/>
    <w:rsid w:val="000C12C2"/>
    <w:rsid w:val="000D11AF"/>
    <w:rsid w:val="000D6255"/>
    <w:rsid w:val="000D6262"/>
    <w:rsid w:val="000D7B4A"/>
    <w:rsid w:val="000E4006"/>
    <w:rsid w:val="000F250A"/>
    <w:rsid w:val="000F3DA2"/>
    <w:rsid w:val="000F5FDE"/>
    <w:rsid w:val="000F7466"/>
    <w:rsid w:val="0013000E"/>
    <w:rsid w:val="001336F4"/>
    <w:rsid w:val="00133F81"/>
    <w:rsid w:val="00135943"/>
    <w:rsid w:val="00155EA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3D0C"/>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410"/>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E4C"/>
    <w:rsid w:val="0036180C"/>
    <w:rsid w:val="00363CF5"/>
    <w:rsid w:val="00364344"/>
    <w:rsid w:val="003702CA"/>
    <w:rsid w:val="00370617"/>
    <w:rsid w:val="00382F1F"/>
    <w:rsid w:val="00391DA4"/>
    <w:rsid w:val="003933AF"/>
    <w:rsid w:val="003A3C64"/>
    <w:rsid w:val="003A3F83"/>
    <w:rsid w:val="003C43EF"/>
    <w:rsid w:val="003C5A6B"/>
    <w:rsid w:val="003C7FB2"/>
    <w:rsid w:val="003D24DE"/>
    <w:rsid w:val="003E26D4"/>
    <w:rsid w:val="003E47BA"/>
    <w:rsid w:val="003F3B37"/>
    <w:rsid w:val="0040195A"/>
    <w:rsid w:val="00402DC0"/>
    <w:rsid w:val="0041157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D3D"/>
    <w:rsid w:val="00484144"/>
    <w:rsid w:val="00484C19"/>
    <w:rsid w:val="00485866"/>
    <w:rsid w:val="00492076"/>
    <w:rsid w:val="00493B1D"/>
    <w:rsid w:val="00497037"/>
    <w:rsid w:val="004A3009"/>
    <w:rsid w:val="004A6940"/>
    <w:rsid w:val="004A77A4"/>
    <w:rsid w:val="004C742C"/>
    <w:rsid w:val="004E1F3E"/>
    <w:rsid w:val="004F149F"/>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2DB"/>
    <w:rsid w:val="00580533"/>
    <w:rsid w:val="0059131D"/>
    <w:rsid w:val="005B3F92"/>
    <w:rsid w:val="005B479C"/>
    <w:rsid w:val="005B561E"/>
    <w:rsid w:val="005C07E4"/>
    <w:rsid w:val="005C2124"/>
    <w:rsid w:val="005C336F"/>
    <w:rsid w:val="005C5D17"/>
    <w:rsid w:val="005C7F3C"/>
    <w:rsid w:val="005D2B4E"/>
    <w:rsid w:val="005E017C"/>
    <w:rsid w:val="005E50C6"/>
    <w:rsid w:val="005F2A97"/>
    <w:rsid w:val="005F399B"/>
    <w:rsid w:val="006019F8"/>
    <w:rsid w:val="00602993"/>
    <w:rsid w:val="00605B20"/>
    <w:rsid w:val="0061156F"/>
    <w:rsid w:val="00613FF5"/>
    <w:rsid w:val="0061442D"/>
    <w:rsid w:val="006155A8"/>
    <w:rsid w:val="00621B94"/>
    <w:rsid w:val="00623704"/>
    <w:rsid w:val="00626239"/>
    <w:rsid w:val="00635316"/>
    <w:rsid w:val="00635449"/>
    <w:rsid w:val="006378C5"/>
    <w:rsid w:val="00645E6A"/>
    <w:rsid w:val="00665CBC"/>
    <w:rsid w:val="00667A5C"/>
    <w:rsid w:val="00677316"/>
    <w:rsid w:val="00686AEB"/>
    <w:rsid w:val="00693C3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6584"/>
    <w:rsid w:val="007A2F73"/>
    <w:rsid w:val="007A3061"/>
    <w:rsid w:val="007A5A0B"/>
    <w:rsid w:val="007C0E14"/>
    <w:rsid w:val="007C5DFA"/>
    <w:rsid w:val="007C7DE4"/>
    <w:rsid w:val="007D40CB"/>
    <w:rsid w:val="007D5796"/>
    <w:rsid w:val="007D59C0"/>
    <w:rsid w:val="007D7D9C"/>
    <w:rsid w:val="007F485D"/>
    <w:rsid w:val="007F6050"/>
    <w:rsid w:val="00813627"/>
    <w:rsid w:val="00832816"/>
    <w:rsid w:val="00836452"/>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D92"/>
    <w:rsid w:val="00884D51"/>
    <w:rsid w:val="008916EC"/>
    <w:rsid w:val="00891E4F"/>
    <w:rsid w:val="00895896"/>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4B7D"/>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9BE"/>
    <w:rsid w:val="00A151C7"/>
    <w:rsid w:val="00A222C2"/>
    <w:rsid w:val="00A305D6"/>
    <w:rsid w:val="00A342C4"/>
    <w:rsid w:val="00A50F6B"/>
    <w:rsid w:val="00A52237"/>
    <w:rsid w:val="00A551D6"/>
    <w:rsid w:val="00A6251B"/>
    <w:rsid w:val="00A6754E"/>
    <w:rsid w:val="00A70F58"/>
    <w:rsid w:val="00A72987"/>
    <w:rsid w:val="00A7346B"/>
    <w:rsid w:val="00A84C4F"/>
    <w:rsid w:val="00A8542C"/>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F1A"/>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1A42"/>
    <w:rsid w:val="00CB6246"/>
    <w:rsid w:val="00CC0A17"/>
    <w:rsid w:val="00CC5F1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427B"/>
    <w:rsid w:val="00DB6AA2"/>
    <w:rsid w:val="00DE10D1"/>
    <w:rsid w:val="00DE2514"/>
    <w:rsid w:val="00DE6851"/>
    <w:rsid w:val="00DF03EE"/>
    <w:rsid w:val="00E01B71"/>
    <w:rsid w:val="00E05CC9"/>
    <w:rsid w:val="00E15573"/>
    <w:rsid w:val="00E25A5B"/>
    <w:rsid w:val="00E373C7"/>
    <w:rsid w:val="00E4267B"/>
    <w:rsid w:val="00E42F13"/>
    <w:rsid w:val="00E452DF"/>
    <w:rsid w:val="00E473E4"/>
    <w:rsid w:val="00E543CF"/>
    <w:rsid w:val="00E546FD"/>
    <w:rsid w:val="00E608F1"/>
    <w:rsid w:val="00E611B9"/>
    <w:rsid w:val="00E7144F"/>
    <w:rsid w:val="00E73D74"/>
    <w:rsid w:val="00E76A79"/>
    <w:rsid w:val="00E80692"/>
    <w:rsid w:val="00E80C24"/>
    <w:rsid w:val="00E93836"/>
    <w:rsid w:val="00EA7C16"/>
    <w:rsid w:val="00EC2595"/>
    <w:rsid w:val="00EC5281"/>
    <w:rsid w:val="00EC791D"/>
    <w:rsid w:val="00EC7CA6"/>
    <w:rsid w:val="00ED3C5D"/>
    <w:rsid w:val="00ED4553"/>
    <w:rsid w:val="00EF1447"/>
    <w:rsid w:val="00F00D08"/>
    <w:rsid w:val="00F15583"/>
    <w:rsid w:val="00F200EE"/>
    <w:rsid w:val="00F22481"/>
    <w:rsid w:val="00F2542E"/>
    <w:rsid w:val="00F26471"/>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0D72"/>
    <w:rsid w:val="00FA1C82"/>
    <w:rsid w:val="00FA2ED1"/>
    <w:rsid w:val="00FA4A52"/>
    <w:rsid w:val="00FB4045"/>
    <w:rsid w:val="00FB4AF1"/>
    <w:rsid w:val="00FB4D8E"/>
    <w:rsid w:val="00FB5753"/>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499EEC9"/>
  <w15:docId w15:val="{620C5F08-CCB8-4C46-851B-BC2C8049B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358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5886"/>
    <w:rPr>
      <w:rFonts w:ascii="Segoe UI" w:hAnsi="Segoe UI" w:cs="Segoe UI"/>
      <w:spacing w:val="4"/>
      <w:sz w:val="18"/>
      <w:szCs w:val="18"/>
    </w:rPr>
  </w:style>
  <w:style w:type="character" w:styleId="LineNumber">
    <w:name w:val="line number"/>
    <w:basedOn w:val="DefaultParagraphFont"/>
    <w:semiHidden/>
    <w:unhideWhenUsed/>
    <w:rsid w:val="00A854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584</Words>
  <Characters>3107</Characters>
  <Application>Microsoft Office Word</Application>
  <DocSecurity>0</DocSecurity>
  <Lines>87</Lines>
  <Paragraphs>28</Paragraphs>
  <ScaleCrop>false</ScaleCrop>
  <HeadingPairs>
    <vt:vector size="2" baseType="variant">
      <vt:variant>
        <vt:lpstr>Title</vt:lpstr>
      </vt:variant>
      <vt:variant>
        <vt:i4>1</vt:i4>
      </vt:variant>
    </vt:vector>
  </HeadingPairs>
  <TitlesOfParts>
    <vt:vector size="1" baseType="lpstr">
      <vt:lpstr>A4003</vt:lpstr>
    </vt:vector>
  </TitlesOfParts>
  <Manager>R225</Manager>
  <Company>NJ Office of Legislative Services</Company>
  <LinksUpToDate>false</LinksUpToDate>
  <CharactersWithSpaces>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A4003 1R</dc:title>
  <dc:subject>20-6990</dc:subject>
  <dc:creator>Assemblyman  CONAWAY, Assemblywoman  JIMENEZ</dc:creator>
  <cp:keywords>A4003|3|HS |263|219|219|!|0|</cp:keywords>
  <dc:description>INTRODUCED MAY 4, 2020_x000d_
Amended 6/22/20</dc:description>
  <cp:lastModifiedBy>Siracusa, Nicole</cp:lastModifiedBy>
  <cp:revision>2</cp:revision>
  <cp:lastPrinted>2020-05-11T14:31:00Z</cp:lastPrinted>
  <dcterms:created xsi:type="dcterms:W3CDTF">2020-06-24T15:37:00Z</dcterms:created>
  <dcterms:modified xsi:type="dcterms:W3CDTF">2020-06-24T15:37:00Z</dcterms:modified>
  <cp:category>s.1: C.45:9-22.28; s.2: C.45:11-28a to 2020/27_x000d_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