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1FD1" w:rsidRDefault="00C61FD1" w:rsidP="00C61FD1">
      <w:pPr>
        <w:pStyle w:val="bpuReprint"/>
      </w:pPr>
      <w:bookmarkStart w:id="0" w:name="bpuFrontPg"/>
      <w:bookmarkStart w:id="1" w:name="_GoBack"/>
      <w:bookmarkEnd w:id="0"/>
      <w:bookmarkEnd w:id="1"/>
      <w:r>
        <w:t>[First Reprint]</w:t>
      </w:r>
    </w:p>
    <w:p w:rsidR="00423974" w:rsidRDefault="00423974" w:rsidP="00423974">
      <w:pPr>
        <w:pStyle w:val="bpuBill"/>
      </w:pPr>
      <w:r>
        <w:t xml:space="preserve">ASSEMBLY, No. 4012 </w:t>
      </w:r>
    </w:p>
    <w:p w:rsidR="00423974" w:rsidRPr="009D38FF" w:rsidRDefault="00423974" w:rsidP="0042397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802996" r:id="rId7"/>
        </w:object>
      </w:r>
    </w:p>
    <w:p w:rsidR="00423974" w:rsidRDefault="00423974" w:rsidP="00423974">
      <w:pPr>
        <w:pStyle w:val="bpuState"/>
      </w:pPr>
      <w:r>
        <w:t>STATE OF NEW JERSEY</w:t>
      </w:r>
    </w:p>
    <w:p w:rsidR="00423974" w:rsidRDefault="00423974" w:rsidP="00423974">
      <w:pPr>
        <w:pStyle w:val="bpuLegislature"/>
      </w:pPr>
      <w:r>
        <w:t>219th LEGISLATURE</w:t>
      </w:r>
    </w:p>
    <w:p w:rsidR="00423974" w:rsidRDefault="00423974" w:rsidP="00423974">
      <w:pPr>
        <w:pStyle w:val="bpuWpGraphic"/>
      </w:pPr>
      <w:r>
        <w:object w:dxaOrig="8985" w:dyaOrig="255">
          <v:shape id="_x0000_i1026" type="#_x0000_t75" style="width:6in;height:12pt" o:ole="">
            <v:imagedata r:id="rId6" o:title=""/>
          </v:shape>
          <o:OLEObject Type="Embed" ProgID="WPWin6.1" ShapeID="_x0000_i1026" DrawAspect="Content" ObjectID="_1662802997" r:id="rId8"/>
        </w:object>
      </w:r>
      <w:r>
        <w:t xml:space="preserve">  </w:t>
      </w:r>
    </w:p>
    <w:p w:rsidR="00423974" w:rsidRDefault="00423974" w:rsidP="00423974">
      <w:pPr>
        <w:pStyle w:val="bpuIntro"/>
      </w:pPr>
      <w:r>
        <w:t>INTRODUCED MAY 4, 2020</w:t>
      </w:r>
    </w:p>
    <w:p w:rsidR="00423974" w:rsidRDefault="00423974" w:rsidP="00423974">
      <w:pPr>
        <w:pStyle w:val="bpuIntro"/>
      </w:pPr>
    </w:p>
    <w:p w:rsidR="00423974" w:rsidRDefault="00423974" w:rsidP="00423974">
      <w:pPr>
        <w:pStyle w:val="bpuIntro"/>
        <w:sectPr w:rsidR="00423974" w:rsidSect="00E75AD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23974" w:rsidRDefault="00423974" w:rsidP="00423974">
      <w:pPr>
        <w:pStyle w:val="bpuIntro"/>
      </w:pPr>
    </w:p>
    <w:p w:rsidR="00423974" w:rsidRDefault="00423974" w:rsidP="00423974">
      <w:pPr>
        <w:pStyle w:val="bpuSponsor"/>
      </w:pPr>
      <w:r>
        <w:t>Sponsored by:</w:t>
      </w:r>
    </w:p>
    <w:p w:rsidR="00423974" w:rsidRDefault="00423974" w:rsidP="00423974">
      <w:pPr>
        <w:pStyle w:val="bpuSponsor"/>
      </w:pPr>
      <w:r>
        <w:t>Assemblyman  RAJ MUKHERJI</w:t>
      </w:r>
    </w:p>
    <w:p w:rsidR="00423974" w:rsidRDefault="00423974" w:rsidP="00423974">
      <w:pPr>
        <w:pStyle w:val="bpuSponsor"/>
      </w:pPr>
      <w:r>
        <w:t>District 33 (Hudson)</w:t>
      </w:r>
    </w:p>
    <w:p w:rsidR="00423974" w:rsidRDefault="002F39F1" w:rsidP="002F39F1">
      <w:pPr>
        <w:pStyle w:val="bpuSponsor"/>
      </w:pPr>
      <w:r>
        <w:t>Assemblyman  DANIEL R. BENSON</w:t>
      </w:r>
    </w:p>
    <w:p w:rsidR="002F39F1" w:rsidRDefault="002F39F1" w:rsidP="002F39F1">
      <w:pPr>
        <w:pStyle w:val="bpuSponsor"/>
      </w:pPr>
      <w:r>
        <w:t>District 14 (Mercer and Middlesex)</w:t>
      </w:r>
    </w:p>
    <w:p w:rsidR="002F39F1" w:rsidRDefault="000C1EEB" w:rsidP="000C1EEB">
      <w:pPr>
        <w:pStyle w:val="bpuSponsor"/>
      </w:pPr>
      <w:r>
        <w:t>Assemblyman  ERIC HOUGHTALING</w:t>
      </w:r>
    </w:p>
    <w:p w:rsidR="000C1EEB" w:rsidRDefault="000C1EEB" w:rsidP="000C1EEB">
      <w:pPr>
        <w:pStyle w:val="bpuSponsor"/>
      </w:pPr>
      <w:r>
        <w:t>District 11 (Monmouth)</w:t>
      </w:r>
    </w:p>
    <w:p w:rsidR="000C1EEB" w:rsidRPr="000C1EEB" w:rsidRDefault="000C1EEB" w:rsidP="000C1EEB">
      <w:pPr>
        <w:pStyle w:val="bpuSponsor"/>
      </w:pPr>
    </w:p>
    <w:p w:rsidR="00041850" w:rsidRDefault="00E75AD6" w:rsidP="00E75AD6">
      <w:pPr>
        <w:pStyle w:val="bpuSponsor"/>
      </w:pPr>
      <w:r>
        <w:t>Co-Sponsored by:</w:t>
      </w:r>
    </w:p>
    <w:p w:rsidR="00E75AD6" w:rsidRPr="00E75AD6" w:rsidRDefault="00E75AD6" w:rsidP="00E75AD6">
      <w:pPr>
        <w:pStyle w:val="bpuSponsor"/>
      </w:pPr>
      <w:r w:rsidRPr="00E75AD6">
        <w:t xml:space="preserve">Assemblyman Caputo, Assemblywomen Murphy, </w:t>
      </w:r>
      <w:proofErr w:type="spellStart"/>
      <w:r w:rsidRPr="00E75AD6">
        <w:t>Jasey</w:t>
      </w:r>
      <w:proofErr w:type="spellEnd"/>
      <w:r w:rsidRPr="00E75AD6">
        <w:t xml:space="preserve">, Assemblymen Rooney, McKeon, Assemblywoman </w:t>
      </w:r>
      <w:proofErr w:type="spellStart"/>
      <w:r w:rsidRPr="00E75AD6">
        <w:t>DiMaso</w:t>
      </w:r>
      <w:proofErr w:type="spellEnd"/>
      <w:r w:rsidRPr="00E75AD6">
        <w:t xml:space="preserve">, Assemblymen Greenwald, </w:t>
      </w:r>
      <w:proofErr w:type="spellStart"/>
      <w:r w:rsidRPr="00E75AD6">
        <w:t>Freiman</w:t>
      </w:r>
      <w:proofErr w:type="spellEnd"/>
      <w:r w:rsidRPr="00E75AD6">
        <w:t>, Assemblywoman Swain and Assemblyman Tully</w:t>
      </w:r>
    </w:p>
    <w:p w:rsidR="00041850" w:rsidRPr="00041850" w:rsidRDefault="00041850" w:rsidP="00041850"/>
    <w:p w:rsidR="00423974" w:rsidRDefault="00423974" w:rsidP="00423974">
      <w:pPr>
        <w:pStyle w:val="bpuSponsor"/>
      </w:pPr>
    </w:p>
    <w:p w:rsidR="00423974" w:rsidRDefault="00423974" w:rsidP="00423974">
      <w:pPr>
        <w:pStyle w:val="bpuSponsor"/>
      </w:pPr>
    </w:p>
    <w:p w:rsidR="00E75AD6" w:rsidRPr="00E75AD6" w:rsidRDefault="00E75AD6" w:rsidP="00E75AD6"/>
    <w:p w:rsidR="00423974" w:rsidRDefault="00423974" w:rsidP="00423974">
      <w:pPr>
        <w:pStyle w:val="bpuSponsor"/>
      </w:pPr>
      <w:r>
        <w:t>SYNOPSIS</w:t>
      </w:r>
    </w:p>
    <w:p w:rsidR="00423974" w:rsidRDefault="00C61FD1" w:rsidP="00423974">
      <w:pPr>
        <w:pStyle w:val="bpuNormText"/>
      </w:pPr>
      <w:r>
        <w:tab/>
        <w:t>Authorizes pharmacists to order and administer test for coronavirus disease 2019 (COVID-19) consistent with federal guidance; requires health benefits and Medicaid coverage for tests.</w:t>
      </w:r>
    </w:p>
    <w:p w:rsidR="00423974" w:rsidRDefault="00423974" w:rsidP="00423974">
      <w:pPr>
        <w:pStyle w:val="bpuNormText"/>
      </w:pPr>
    </w:p>
    <w:p w:rsidR="00423974" w:rsidRDefault="00423974" w:rsidP="00423974">
      <w:pPr>
        <w:pStyle w:val="bpuSponsor"/>
      </w:pPr>
      <w:r>
        <w:t xml:space="preserve">CURRENT VERSION OF TEXT </w:t>
      </w:r>
    </w:p>
    <w:p w:rsidR="00423974" w:rsidRDefault="00C61FD1" w:rsidP="00423974">
      <w:pPr>
        <w:pStyle w:val="bpuNormText"/>
      </w:pPr>
      <w:r>
        <w:tab/>
        <w:t>As reported by the Assembly Appropriations Committee on June 25, 2020, with amendments.</w:t>
      </w:r>
    </w:p>
    <w:p w:rsidR="00423974" w:rsidRDefault="00423974" w:rsidP="0042397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23974" w:rsidRDefault="00423974" w:rsidP="008916EC">
      <w:pPr>
        <w:pStyle w:val="FronterPage"/>
        <w:tabs>
          <w:tab w:val="clear" w:pos="720"/>
          <w:tab w:val="clear" w:pos="1440"/>
          <w:tab w:val="clear" w:pos="2160"/>
          <w:tab w:val="clear" w:pos="2880"/>
          <w:tab w:val="clear" w:pos="3600"/>
          <w:tab w:val="clear" w:pos="4320"/>
          <w:tab w:val="clear" w:pos="5040"/>
        </w:tabs>
        <w:sectPr w:rsidR="00423974" w:rsidSect="00423974">
          <w:type w:val="continuous"/>
          <w:pgSz w:w="12240" w:h="20160" w:code="5"/>
          <w:pgMar w:top="1440" w:right="2275" w:bottom="1440" w:left="2275" w:header="72" w:footer="720" w:gutter="0"/>
          <w:pgNumType w:start="1"/>
          <w:cols w:space="720"/>
          <w:docGrid w:linePitch="360"/>
        </w:sectPr>
      </w:pPr>
    </w:p>
    <w:p w:rsidR="000B1054" w:rsidRDefault="00C61FD1" w:rsidP="00C61FD1">
      <w:pPr>
        <w:ind w:left="288" w:hanging="288"/>
        <w:rPr>
          <w:spacing w:val="0"/>
        </w:rPr>
      </w:pPr>
      <w:r w:rsidRPr="00C61FD1">
        <w:rPr>
          <w:b/>
          <w:smallCaps/>
          <w:spacing w:val="0"/>
          <w:szCs w:val="20"/>
        </w:rPr>
        <w:lastRenderedPageBreak/>
        <w:t>An Act</w:t>
      </w:r>
      <w:r w:rsidRPr="00C61FD1">
        <w:t xml:space="preserve"> </w:t>
      </w:r>
      <w:r w:rsidRPr="00C61FD1">
        <w:rPr>
          <w:spacing w:val="0"/>
        </w:rPr>
        <w:t xml:space="preserve">concerning testing for coronavirus disease 2019 </w:t>
      </w:r>
      <w:r w:rsidRPr="00C61FD1">
        <w:rPr>
          <w:rFonts w:ascii="Albertus Extra Bold" w:hAnsi="Albertus Extra Bold"/>
          <w:b/>
          <w:spacing w:val="0"/>
          <w:vertAlign w:val="superscript"/>
        </w:rPr>
        <w:t>1</w:t>
      </w:r>
      <w:r w:rsidRPr="00C61FD1">
        <w:rPr>
          <w:spacing w:val="0"/>
          <w:u w:val="single"/>
        </w:rPr>
        <w:t>and amending P.L.2020, c.7</w:t>
      </w:r>
      <w:r w:rsidRPr="00C61FD1">
        <w:rPr>
          <w:rFonts w:ascii="Albertus Extra Bold" w:hAnsi="Albertus Extra Bold"/>
          <w:b/>
          <w:spacing w:val="0"/>
          <w:vertAlign w:val="superscript"/>
        </w:rPr>
        <w:t>1</w:t>
      </w:r>
      <w:r w:rsidRPr="00C61FD1">
        <w:rPr>
          <w:spacing w:val="0"/>
        </w:rPr>
        <w:t xml:space="preserve"> .</w:t>
      </w:r>
    </w:p>
    <w:p w:rsidR="00C61FD1" w:rsidRPr="00D71D68" w:rsidRDefault="00C61FD1" w:rsidP="000B1054"/>
    <w:p w:rsidR="00686AEB" w:rsidRPr="00AA7880" w:rsidRDefault="00686AEB" w:rsidP="00686AEB">
      <w:r>
        <w:tab/>
      </w:r>
      <w:r w:rsidR="00685CA6">
        <w:rPr>
          <w:rStyle w:val="BillHeading2"/>
        </w:rPr>
        <w:t>Be It Enacted</w:t>
      </w:r>
      <w:r>
        <w:rPr>
          <w:rStyle w:val="BillHeading2"/>
        </w:rPr>
        <w:t xml:space="preserve"> </w:t>
      </w:r>
      <w:r w:rsidR="00685CA6">
        <w:rPr>
          <w:rStyle w:val="BillLanguage"/>
        </w:rPr>
        <w:t>by the Senate and General Assembly of the State of New Jersey:</w:t>
      </w:r>
    </w:p>
    <w:p w:rsidR="00686AEB" w:rsidRDefault="00686AEB" w:rsidP="00686AEB"/>
    <w:p w:rsidR="00C61FD1" w:rsidRPr="00C61FD1" w:rsidRDefault="00C61FD1" w:rsidP="00C61F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61FD1">
        <w:rPr>
          <w:spacing w:val="0"/>
        </w:rPr>
        <w:tab/>
        <w:t>1.</w:t>
      </w:r>
      <w:r w:rsidRPr="00C61FD1">
        <w:rPr>
          <w:spacing w:val="0"/>
        </w:rPr>
        <w:tab/>
      </w:r>
      <w:r w:rsidRPr="00C61FD1">
        <w:rPr>
          <w:rFonts w:ascii="Albertus Extra Bold" w:hAnsi="Albertus Extra Bold"/>
          <w:b/>
          <w:vertAlign w:val="superscript"/>
        </w:rPr>
        <w:t>1</w:t>
      </w:r>
      <w:r w:rsidRPr="00C61FD1">
        <w:rPr>
          <w:spacing w:val="0"/>
          <w:u w:val="single"/>
        </w:rPr>
        <w:t>(New section)</w:t>
      </w:r>
      <w:r w:rsidRPr="00C61FD1">
        <w:rPr>
          <w:rFonts w:ascii="Albertus Extra Bold" w:hAnsi="Albertus Extra Bold"/>
          <w:b/>
          <w:vertAlign w:val="superscript"/>
        </w:rPr>
        <w:t>1</w:t>
      </w:r>
      <w:r w:rsidRPr="00C61FD1">
        <w:rPr>
          <w:spacing w:val="0"/>
        </w:rPr>
        <w:t xml:space="preserve"> a.  </w:t>
      </w:r>
      <w:r w:rsidRPr="00C61FD1">
        <w:rPr>
          <w:rFonts w:ascii="Albertus Extra Bold" w:hAnsi="Albertus Extra Bold"/>
          <w:b/>
          <w:vertAlign w:val="superscript"/>
        </w:rPr>
        <w:t>1</w:t>
      </w:r>
      <w:r w:rsidRPr="00C61FD1">
        <w:rPr>
          <w:rFonts w:ascii="Albertus Extra Bold" w:hAnsi="Albertus Extra Bold"/>
          <w:b/>
        </w:rPr>
        <w:t>[</w:t>
      </w:r>
      <w:r w:rsidRPr="00C61FD1">
        <w:rPr>
          <w:spacing w:val="0"/>
        </w:rPr>
        <w:t>Notwithstanding any other provision of law to the contrary, consistent</w:t>
      </w:r>
      <w:r w:rsidRPr="00C61FD1">
        <w:rPr>
          <w:rFonts w:ascii="Albertus Extra Bold" w:hAnsi="Albertus Extra Bold"/>
          <w:b/>
        </w:rPr>
        <w:t>]</w:t>
      </w:r>
      <w:r w:rsidRPr="00C61FD1">
        <w:rPr>
          <w:spacing w:val="0"/>
        </w:rPr>
        <w:t xml:space="preserve"> </w:t>
      </w:r>
      <w:r w:rsidRPr="00C61FD1">
        <w:rPr>
          <w:spacing w:val="0"/>
          <w:u w:val="single"/>
        </w:rPr>
        <w:t>Consistent</w:t>
      </w:r>
      <w:r w:rsidRPr="00C61FD1">
        <w:rPr>
          <w:rFonts w:ascii="Albertus Extra Bold" w:hAnsi="Albertus Extra Bold"/>
          <w:b/>
          <w:vertAlign w:val="superscript"/>
        </w:rPr>
        <w:t>1</w:t>
      </w:r>
      <w:r w:rsidRPr="00C61FD1">
        <w:rPr>
          <w:spacing w:val="0"/>
        </w:rPr>
        <w:t xml:space="preserve"> with federal guidance and waivers, a pharmacist licensed pursuant to P.L.2003, c.280 (C.45:14-40 et seq.) shall be authorized to order </w:t>
      </w:r>
      <w:r w:rsidRPr="00C61FD1">
        <w:rPr>
          <w:rFonts w:ascii="Albertus Extra Bold" w:hAnsi="Albertus Extra Bold"/>
          <w:b/>
          <w:vertAlign w:val="superscript"/>
        </w:rPr>
        <w:t>1</w:t>
      </w:r>
      <w:r w:rsidRPr="00C61FD1">
        <w:rPr>
          <w:rFonts w:ascii="Albertus Extra Bold" w:hAnsi="Albertus Extra Bold"/>
          <w:b/>
        </w:rPr>
        <w:t>[</w:t>
      </w:r>
      <w:r w:rsidRPr="00C61FD1">
        <w:rPr>
          <w:spacing w:val="0"/>
        </w:rPr>
        <w:t>or</w:t>
      </w:r>
      <w:r w:rsidRPr="00C61FD1">
        <w:rPr>
          <w:rFonts w:ascii="Albertus Extra Bold" w:hAnsi="Albertus Extra Bold"/>
          <w:b/>
        </w:rPr>
        <w:t>]</w:t>
      </w:r>
      <w:r w:rsidRPr="00C61FD1">
        <w:rPr>
          <w:spacing w:val="0"/>
        </w:rPr>
        <w:t xml:space="preserve"> </w:t>
      </w:r>
      <w:r w:rsidRPr="00C61FD1">
        <w:rPr>
          <w:spacing w:val="0"/>
          <w:u w:val="single"/>
        </w:rPr>
        <w:t>and</w:t>
      </w:r>
      <w:r w:rsidRPr="00C61FD1">
        <w:rPr>
          <w:rFonts w:ascii="Albertus Extra Bold" w:hAnsi="Albertus Extra Bold"/>
          <w:b/>
          <w:vertAlign w:val="superscript"/>
        </w:rPr>
        <w:t>1</w:t>
      </w:r>
      <w:r w:rsidRPr="00C61FD1">
        <w:rPr>
          <w:spacing w:val="0"/>
        </w:rPr>
        <w:t xml:space="preserve"> administer to any person any test for the coronavirus disease 2019 (COVID-19) that the federal Food and Drug Administration has authorized for use, provided that:</w:t>
      </w:r>
    </w:p>
    <w:p w:rsidR="00C61FD1" w:rsidRPr="00C61FD1" w:rsidRDefault="00C61FD1" w:rsidP="00C61F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61FD1">
        <w:rPr>
          <w:spacing w:val="0"/>
        </w:rPr>
        <w:tab/>
        <w:t>(1)</w:t>
      </w:r>
      <w:r w:rsidRPr="00C61FD1">
        <w:rPr>
          <w:spacing w:val="0"/>
        </w:rPr>
        <w:tab/>
        <w:t>the manufacturer of the test is registered with the federal Food and Drug Administration and is included in the Establishment Registration and Device Listing database maintained by the federal Food and Drug Administration;</w:t>
      </w:r>
    </w:p>
    <w:p w:rsidR="00C61FD1" w:rsidRPr="00C61FD1" w:rsidRDefault="00C61FD1" w:rsidP="00C61F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61FD1">
        <w:rPr>
          <w:spacing w:val="0"/>
        </w:rPr>
        <w:tab/>
        <w:t>(2)</w:t>
      </w:r>
      <w:r w:rsidRPr="00C61FD1">
        <w:rPr>
          <w:spacing w:val="0"/>
        </w:rPr>
        <w:tab/>
      </w:r>
      <w:r w:rsidRPr="00C61FD1">
        <w:rPr>
          <w:rFonts w:ascii="Albertus Extra Bold" w:hAnsi="Albertus Extra Bold"/>
          <w:b/>
          <w:vertAlign w:val="superscript"/>
        </w:rPr>
        <w:t>1</w:t>
      </w:r>
      <w:r w:rsidRPr="00C61FD1">
        <w:rPr>
          <w:rFonts w:ascii="Albertus Extra Bold" w:hAnsi="Albertus Extra Bold"/>
          <w:b/>
        </w:rPr>
        <w:t>[</w:t>
      </w:r>
      <w:r w:rsidRPr="00C61FD1">
        <w:rPr>
          <w:spacing w:val="0"/>
        </w:rPr>
        <w:t xml:space="preserve">a statistically significant number of samples of the test have been independently evaluated within the United States for reliability; </w:t>
      </w:r>
    </w:p>
    <w:p w:rsidR="00C61FD1" w:rsidRPr="00C61FD1" w:rsidRDefault="00C61FD1" w:rsidP="00C61F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61FD1">
        <w:rPr>
          <w:spacing w:val="0"/>
        </w:rPr>
        <w:tab/>
        <w:t>(3)</w:t>
      </w:r>
      <w:r w:rsidRPr="00C61FD1">
        <w:rPr>
          <w:rFonts w:ascii="Albertus Extra Bold" w:hAnsi="Albertus Extra Bold"/>
          <w:b/>
        </w:rPr>
        <w:t>]</w:t>
      </w:r>
      <w:r w:rsidRPr="00C61FD1">
        <w:rPr>
          <w:rFonts w:ascii="Albertus Extra Bold" w:hAnsi="Albertus Extra Bold"/>
          <w:b/>
          <w:vertAlign w:val="superscript"/>
        </w:rPr>
        <w:t>1</w:t>
      </w:r>
      <w:r w:rsidRPr="00C61FD1">
        <w:rPr>
          <w:spacing w:val="0"/>
        </w:rPr>
        <w:t xml:space="preserve">  the place of manufacture provides reasonable assurance prior to or at the time of shipment that the test is genuine </w:t>
      </w:r>
      <w:r w:rsidRPr="00C61FD1">
        <w:rPr>
          <w:rFonts w:ascii="Albertus Extra Bold" w:hAnsi="Albertus Extra Bold"/>
          <w:b/>
          <w:vertAlign w:val="superscript"/>
        </w:rPr>
        <w:t>1</w:t>
      </w:r>
      <w:r w:rsidRPr="00C61FD1">
        <w:rPr>
          <w:rFonts w:ascii="Albertus Extra Bold" w:hAnsi="Albertus Extra Bold"/>
          <w:b/>
        </w:rPr>
        <w:t>[</w:t>
      </w:r>
      <w:r w:rsidRPr="00C61FD1">
        <w:rPr>
          <w:spacing w:val="0"/>
        </w:rPr>
        <w:t>and conforms to the specifications of the samples that have been found to be reliable as described in paragraph (2) of this subsection</w:t>
      </w:r>
      <w:r w:rsidRPr="00C61FD1">
        <w:rPr>
          <w:rFonts w:ascii="Albertus Extra Bold" w:hAnsi="Albertus Extra Bold"/>
          <w:b/>
        </w:rPr>
        <w:t>]</w:t>
      </w:r>
      <w:r w:rsidRPr="00C61FD1">
        <w:rPr>
          <w:rFonts w:ascii="Albertus Extra Bold" w:hAnsi="Albertus Extra Bold"/>
          <w:b/>
          <w:vertAlign w:val="superscript"/>
        </w:rPr>
        <w:t>1</w:t>
      </w:r>
      <w:r w:rsidRPr="00C61FD1">
        <w:rPr>
          <w:spacing w:val="0"/>
        </w:rPr>
        <w:t xml:space="preserve"> ; and</w:t>
      </w:r>
    </w:p>
    <w:p w:rsidR="00C61FD1" w:rsidRPr="00C61FD1" w:rsidRDefault="00C61FD1" w:rsidP="00C61F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61FD1">
        <w:rPr>
          <w:spacing w:val="0"/>
        </w:rPr>
        <w:tab/>
      </w:r>
      <w:r w:rsidRPr="00C61FD1">
        <w:rPr>
          <w:rFonts w:ascii="Albertus Extra Bold" w:hAnsi="Albertus Extra Bold"/>
          <w:b/>
          <w:vertAlign w:val="superscript"/>
        </w:rPr>
        <w:t>1</w:t>
      </w:r>
      <w:r w:rsidRPr="00C61FD1">
        <w:rPr>
          <w:rFonts w:ascii="Albertus Extra Bold" w:hAnsi="Albertus Extra Bold"/>
          <w:b/>
        </w:rPr>
        <w:t>[</w:t>
      </w:r>
      <w:r w:rsidRPr="00C61FD1">
        <w:rPr>
          <w:spacing w:val="0"/>
        </w:rPr>
        <w:t>(4)</w:t>
      </w:r>
      <w:r w:rsidRPr="00C61FD1">
        <w:rPr>
          <w:rFonts w:ascii="Albertus Extra Bold" w:hAnsi="Albertus Extra Bold"/>
          <w:b/>
        </w:rPr>
        <w:t>]</w:t>
      </w:r>
      <w:r w:rsidRPr="00C61FD1">
        <w:rPr>
          <w:spacing w:val="0"/>
        </w:rPr>
        <w:t xml:space="preserve"> </w:t>
      </w:r>
      <w:r w:rsidRPr="00C61FD1">
        <w:rPr>
          <w:spacing w:val="0"/>
          <w:u w:val="single"/>
        </w:rPr>
        <w:t>(3)</w:t>
      </w:r>
      <w:r w:rsidRPr="00C61FD1">
        <w:rPr>
          <w:rFonts w:ascii="Albertus Extra Bold" w:hAnsi="Albertus Extra Bold"/>
          <w:b/>
          <w:vertAlign w:val="superscript"/>
        </w:rPr>
        <w:t>1</w:t>
      </w:r>
      <w:r w:rsidRPr="00C61FD1">
        <w:rPr>
          <w:spacing w:val="0"/>
        </w:rPr>
        <w:t xml:space="preserve">  the pharmacy practice site distributes personal protection equipment to all pharmacy staff and establishes protocols and procedures to ensure that all persons presenting at the pharmacy for any reason, including to request testing for COVID-19, maintain social distancing appropriate to prevent transmission of COVID-19.</w:t>
      </w:r>
    </w:p>
    <w:p w:rsidR="00C61FD1" w:rsidRPr="00C61FD1" w:rsidRDefault="00C61FD1" w:rsidP="00C61F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61FD1">
        <w:rPr>
          <w:spacing w:val="0"/>
        </w:rPr>
        <w:tab/>
        <w:t>b.</w:t>
      </w:r>
      <w:r w:rsidRPr="00C61FD1">
        <w:rPr>
          <w:spacing w:val="0"/>
        </w:rPr>
        <w:tab/>
        <w:t xml:space="preserve">If an individual tests positive for COVID-19 using a test administered by a pharmacist pursuant to subsection a. of this section, the pharmacist shall advise the patient </w:t>
      </w:r>
      <w:r w:rsidRPr="00C61FD1">
        <w:rPr>
          <w:rFonts w:ascii="Albertus Extra Bold" w:hAnsi="Albertus Extra Bold"/>
          <w:b/>
          <w:vertAlign w:val="superscript"/>
        </w:rPr>
        <w:t>1</w:t>
      </w:r>
      <w:r w:rsidRPr="00C61FD1">
        <w:rPr>
          <w:rFonts w:ascii="Albertus Extra Bold" w:hAnsi="Albertus Extra Bold"/>
          <w:b/>
        </w:rPr>
        <w:t>[</w:t>
      </w:r>
      <w:r w:rsidRPr="00C61FD1">
        <w:rPr>
          <w:spacing w:val="0"/>
        </w:rPr>
        <w:t>to self-isolate at home for at least 14 days</w:t>
      </w:r>
      <w:r w:rsidRPr="00C61FD1">
        <w:rPr>
          <w:rFonts w:ascii="Albertus Extra Bold" w:hAnsi="Albertus Extra Bold"/>
          <w:b/>
        </w:rPr>
        <w:t>]</w:t>
      </w:r>
      <w:r w:rsidRPr="00C61FD1">
        <w:rPr>
          <w:spacing w:val="0"/>
        </w:rPr>
        <w:t xml:space="preserve"> </w:t>
      </w:r>
      <w:r w:rsidRPr="00C61FD1">
        <w:rPr>
          <w:spacing w:val="0"/>
          <w:u w:val="single"/>
        </w:rPr>
        <w:t>on self-isolation guidance</w:t>
      </w:r>
      <w:r w:rsidRPr="00C61FD1">
        <w:rPr>
          <w:rFonts w:ascii="Albertus Extra Bold" w:hAnsi="Albertus Extra Bold"/>
          <w:b/>
          <w:vertAlign w:val="superscript"/>
        </w:rPr>
        <w:t>1</w:t>
      </w:r>
      <w:r w:rsidRPr="00C61FD1">
        <w:rPr>
          <w:spacing w:val="0"/>
        </w:rPr>
        <w:t xml:space="preserve"> and provide the individual with </w:t>
      </w:r>
      <w:r w:rsidRPr="00C61FD1">
        <w:rPr>
          <w:rFonts w:ascii="Albertus Extra Bold" w:hAnsi="Albertus Extra Bold"/>
          <w:b/>
          <w:vertAlign w:val="superscript"/>
        </w:rPr>
        <w:t>1</w:t>
      </w:r>
      <w:r w:rsidRPr="00C61FD1">
        <w:rPr>
          <w:rFonts w:ascii="Albertus Extra Bold" w:hAnsi="Albertus Extra Bold"/>
          <w:b/>
        </w:rPr>
        <w:t>[</w:t>
      </w:r>
      <w:r w:rsidRPr="00C61FD1">
        <w:rPr>
          <w:spacing w:val="0"/>
        </w:rPr>
        <w:t>a copy of</w:t>
      </w:r>
      <w:r w:rsidRPr="00C61FD1">
        <w:rPr>
          <w:rFonts w:ascii="Albertus Extra Bold" w:hAnsi="Albertus Extra Bold"/>
          <w:b/>
        </w:rPr>
        <w:t>]</w:t>
      </w:r>
      <w:r w:rsidRPr="00C61FD1">
        <w:rPr>
          <w:spacing w:val="0"/>
        </w:rPr>
        <w:t xml:space="preserve"> </w:t>
      </w:r>
      <w:r w:rsidRPr="00C61FD1">
        <w:rPr>
          <w:spacing w:val="0"/>
          <w:u w:val="single"/>
        </w:rPr>
        <w:t>any necessary resources, such as</w:t>
      </w:r>
      <w:r w:rsidRPr="00C61FD1">
        <w:rPr>
          <w:rFonts w:ascii="Albertus Extra Bold" w:hAnsi="Albertus Extra Bold"/>
          <w:b/>
          <w:vertAlign w:val="superscript"/>
        </w:rPr>
        <w:t>1</w:t>
      </w:r>
      <w:r w:rsidRPr="00C61FD1">
        <w:rPr>
          <w:spacing w:val="0"/>
        </w:rPr>
        <w:t xml:space="preserve"> the COVID-19 Home Care Guide, except that, if the patient is a member of a group that is at high risk for health complications from COVID-19 or is experiencing symptoms of a severe adverse reaction to COVID-19, the pharmacist shall advise the patient to promptly seek treatment at a hospital </w:t>
      </w:r>
      <w:r w:rsidRPr="00C61FD1">
        <w:rPr>
          <w:rFonts w:ascii="Albertus Extra Bold" w:hAnsi="Albertus Extra Bold"/>
          <w:b/>
          <w:vertAlign w:val="superscript"/>
        </w:rPr>
        <w:t>1</w:t>
      </w:r>
      <w:r w:rsidRPr="00C61FD1">
        <w:rPr>
          <w:spacing w:val="0"/>
          <w:u w:val="single"/>
        </w:rPr>
        <w:t>or contact the patient’s health care provider</w:t>
      </w:r>
      <w:r w:rsidRPr="00C61FD1">
        <w:rPr>
          <w:rFonts w:ascii="Albertus Extra Bold" w:hAnsi="Albertus Extra Bold"/>
          <w:b/>
          <w:vertAlign w:val="superscript"/>
        </w:rPr>
        <w:t>1</w:t>
      </w:r>
      <w:r w:rsidRPr="00C61FD1">
        <w:rPr>
          <w:spacing w:val="0"/>
        </w:rPr>
        <w:t xml:space="preserve"> .  The pharmacist shall ensure compliance with all other State and federal requirements concerning a positive test for COVID-19, including applicable reporting and data collection requirements.</w:t>
      </w:r>
    </w:p>
    <w:p w:rsidR="00A75787" w:rsidRDefault="00C61FD1" w:rsidP="00C61FD1">
      <w:r w:rsidRPr="00C61FD1">
        <w:rPr>
          <w:spacing w:val="0"/>
        </w:rPr>
        <w:lastRenderedPageBreak/>
        <w:tab/>
      </w:r>
      <w:r w:rsidRPr="00C61FD1">
        <w:rPr>
          <w:rFonts w:ascii="Albertus Extra Bold" w:hAnsi="Albertus Extra Bold"/>
          <w:b/>
          <w:vertAlign w:val="superscript"/>
        </w:rPr>
        <w:t>1</w:t>
      </w:r>
      <w:r w:rsidRPr="00C61FD1">
        <w:rPr>
          <w:rFonts w:ascii="Albertus Extra Bold" w:hAnsi="Albertus Extra Bold"/>
          <w:b/>
        </w:rPr>
        <w:t>[</w:t>
      </w:r>
      <w:r w:rsidRPr="00C61FD1">
        <w:rPr>
          <w:spacing w:val="0"/>
        </w:rPr>
        <w:t>c.  The Board of Pharmacy may extend the authority to order and administer COVID-19 tests to any other professional subject to licensure or oversight by the board.</w:t>
      </w:r>
      <w:r w:rsidRPr="00C61FD1">
        <w:rPr>
          <w:rFonts w:ascii="Albertus Extra Bold" w:hAnsi="Albertus Extra Bold"/>
          <w:b/>
        </w:rPr>
        <w:t>]</w:t>
      </w:r>
      <w:r w:rsidRPr="00C61FD1">
        <w:rPr>
          <w:rFonts w:ascii="Albertus Extra Bold" w:hAnsi="Albertus Extra Bold"/>
          <w:b/>
          <w:vertAlign w:val="superscript"/>
        </w:rPr>
        <w:t>1</w:t>
      </w:r>
    </w:p>
    <w:p w:rsidR="00E55204" w:rsidRPr="00D71D68" w:rsidRDefault="00E55204" w:rsidP="00686AEB"/>
    <w:p w:rsidR="00C61FD1" w:rsidRPr="00443247" w:rsidRDefault="00C61FD1" w:rsidP="00C61FD1">
      <w:r>
        <w:tab/>
      </w:r>
      <w:r>
        <w:rPr>
          <w:rFonts w:ascii="Albertus Extra Bold" w:hAnsi="Albertus Extra Bold"/>
          <w:b/>
          <w:vertAlign w:val="superscript"/>
        </w:rPr>
        <w:t>1</w:t>
      </w:r>
      <w:r>
        <w:t>2</w:t>
      </w:r>
      <w:r w:rsidRPr="0098047C">
        <w:t>.</w:t>
      </w:r>
      <w:r w:rsidRPr="00443247">
        <w:tab/>
        <w:t>Section 1 of P.L.2020, c.7 is amended to read as follows:</w:t>
      </w:r>
    </w:p>
    <w:p w:rsidR="00C61FD1" w:rsidRPr="00443247" w:rsidRDefault="00C61FD1" w:rsidP="00C61FD1">
      <w:r w:rsidRPr="00443247">
        <w:tab/>
        <w:t>1.</w:t>
      </w:r>
      <w:r w:rsidRPr="00443247">
        <w:tab/>
        <w:t xml:space="preserve">a.  During the Public Health Emergency and State of Emergency declared by the Governor in Executive Order 103 of 2020, the State Medicaid and NJ </w:t>
      </w:r>
      <w:proofErr w:type="spellStart"/>
      <w:r w:rsidRPr="00443247">
        <w:t>FamilyCare</w:t>
      </w:r>
      <w:proofErr w:type="spellEnd"/>
      <w:r w:rsidRPr="00443247">
        <w:t xml:space="preserve"> programs shall provide coverage and payment for expenses incurred in:</w:t>
      </w:r>
    </w:p>
    <w:p w:rsidR="00C61FD1" w:rsidRPr="00443247" w:rsidRDefault="00C61FD1" w:rsidP="00C61FD1">
      <w:r w:rsidRPr="00443247">
        <w:tab/>
        <w:t>(1)</w:t>
      </w:r>
      <w:r w:rsidRPr="00443247">
        <w:tab/>
        <w:t xml:space="preserve">the testing for coronavirus disease 2019, provided that a licensed </w:t>
      </w:r>
      <w:r w:rsidRPr="00443247">
        <w:rPr>
          <w:rFonts w:ascii="Albertus Extra Bold" w:hAnsi="Albertus Extra Bold"/>
          <w:b/>
        </w:rPr>
        <w:t>[</w:t>
      </w:r>
      <w:r w:rsidRPr="00443247">
        <w:t>medical practitioner</w:t>
      </w:r>
      <w:r w:rsidRPr="00443247">
        <w:rPr>
          <w:rFonts w:ascii="Albertus Extra Bold" w:hAnsi="Albertus Extra Bold"/>
          <w:b/>
        </w:rPr>
        <w:t>]</w:t>
      </w:r>
      <w:r w:rsidRPr="00443247">
        <w:t xml:space="preserve"> </w:t>
      </w:r>
      <w:r w:rsidRPr="00443247">
        <w:rPr>
          <w:u w:val="single"/>
        </w:rPr>
        <w:t>health care professional</w:t>
      </w:r>
      <w:r>
        <w:rPr>
          <w:u w:val="single"/>
        </w:rPr>
        <w:t xml:space="preserve"> </w:t>
      </w:r>
      <w:r w:rsidRPr="00443247">
        <w:rPr>
          <w:u w:val="single"/>
        </w:rPr>
        <w:t>licensed in accordance with the provisions of Title 45 of the Revised Statutes, or otherwise authorized to provide health care services in this State,</w:t>
      </w:r>
      <w:r w:rsidRPr="00443247">
        <w:t xml:space="preserve"> has issued a medical order for that testing; and</w:t>
      </w:r>
    </w:p>
    <w:p w:rsidR="00C61FD1" w:rsidRPr="00443247" w:rsidRDefault="00C61FD1" w:rsidP="00C61FD1">
      <w:r w:rsidRPr="00443247">
        <w:tab/>
        <w:t>(2)</w:t>
      </w:r>
      <w:r w:rsidRPr="00443247">
        <w:tab/>
        <w:t>the delivery of health care services through telemedicine or telehealth in accordance with the provisions of P.L.2017, c.117 (C.45:1-61 et al.).</w:t>
      </w:r>
    </w:p>
    <w:p w:rsidR="00C61FD1" w:rsidRPr="00443247" w:rsidRDefault="00C61FD1" w:rsidP="00C61FD1">
      <w:r w:rsidRPr="00443247">
        <w:tab/>
        <w:t>b.</w:t>
      </w:r>
      <w:r w:rsidRPr="00443247">
        <w:tab/>
        <w:t>The coverage shall be provided to the same extent as for any other health care services, except that no cost-sharing shall be imposed on the coverage provided pursuant to this section.</w:t>
      </w:r>
    </w:p>
    <w:p w:rsidR="00C61FD1" w:rsidRPr="0098047C" w:rsidRDefault="00C61FD1" w:rsidP="00C61FD1">
      <w:pPr>
        <w:rPr>
          <w:rFonts w:ascii="Albertus Extra Bold" w:hAnsi="Albertus Extra Bold"/>
          <w:b/>
          <w:vertAlign w:val="superscript"/>
        </w:rPr>
      </w:pPr>
      <w:r w:rsidRPr="00443247">
        <w:tab/>
        <w:t>c.</w:t>
      </w:r>
      <w:r w:rsidRPr="00443247">
        <w:tab/>
        <w:t>The Commissioner of Human Services shall apply for such State plan amendments or waivers as may be necessary to implement the provisions of this act and to secure federal financial participation for State Medicaid expenditures under the federal Medicaid program.</w:t>
      </w:r>
      <w:r>
        <w:rPr>
          <w:rFonts w:ascii="Albertus Extra Bold" w:hAnsi="Albertus Extra Bold"/>
          <w:b/>
          <w:vertAlign w:val="superscript"/>
        </w:rPr>
        <w:t>1</w:t>
      </w:r>
    </w:p>
    <w:p w:rsidR="00C61FD1" w:rsidRDefault="00C61FD1" w:rsidP="00C61FD1">
      <w:r>
        <w:t>(</w:t>
      </w:r>
      <w:proofErr w:type="spellStart"/>
      <w:r>
        <w:t>cf</w:t>
      </w:r>
      <w:proofErr w:type="spellEnd"/>
      <w:r>
        <w:t>: P.L.2020, c.7, s.1)</w:t>
      </w:r>
    </w:p>
    <w:p w:rsidR="00C61FD1" w:rsidRDefault="00C61FD1" w:rsidP="00FF2718"/>
    <w:p w:rsidR="00C61FD1" w:rsidRDefault="00C61FD1" w:rsidP="00C61FD1">
      <w:r>
        <w:tab/>
      </w:r>
      <w:r>
        <w:rPr>
          <w:rFonts w:ascii="Albertus Extra Bold" w:hAnsi="Albertus Extra Bold"/>
          <w:b/>
          <w:vertAlign w:val="superscript"/>
        </w:rPr>
        <w:t>1</w:t>
      </w:r>
      <w:r>
        <w:t>3.</w:t>
      </w:r>
      <w:r>
        <w:tab/>
        <w:t>Section 2 of P.L.2020, c.7 is amended to read as follows:</w:t>
      </w:r>
    </w:p>
    <w:p w:rsidR="00C61FD1" w:rsidRDefault="00C61FD1" w:rsidP="00C61FD1">
      <w:pPr>
        <w:tabs>
          <w:tab w:val="clear" w:pos="1440"/>
          <w:tab w:val="left" w:pos="1080"/>
        </w:tabs>
      </w:pPr>
      <w:r>
        <w:tab/>
        <w:t>2.</w:t>
      </w:r>
      <w:r>
        <w:tab/>
        <w:t>a.</w:t>
      </w:r>
      <w:r>
        <w:tab/>
        <w:t>During the Public Health Emergency and State of Emergency declared by the Governor in Executive Order 103 of 2020, a carrier that offers a health benefits plan in this State shall provide coverage and payment for expenses incurred in:</w:t>
      </w:r>
    </w:p>
    <w:p w:rsidR="00C61FD1" w:rsidRDefault="00C61FD1" w:rsidP="00C61FD1">
      <w:r>
        <w:tab/>
        <w:t>(1)</w:t>
      </w:r>
      <w:r>
        <w:tab/>
        <w:t xml:space="preserve">the testing of coronavirus disease 2019, provided that a health care professional </w:t>
      </w:r>
      <w:r w:rsidRPr="009E4F7A">
        <w:rPr>
          <w:u w:val="single"/>
        </w:rPr>
        <w:t>licensed</w:t>
      </w:r>
      <w:r>
        <w:t xml:space="preserve"> </w:t>
      </w:r>
      <w:r w:rsidRPr="009E4F7A">
        <w:t>in</w:t>
      </w:r>
      <w:r>
        <w:t xml:space="preserve"> accordance with the provisions of </w:t>
      </w:r>
      <w:r w:rsidRPr="009E4F7A">
        <w:rPr>
          <w:rFonts w:ascii="Albertus Extra Bold" w:hAnsi="Albertus Extra Bold"/>
          <w:b/>
        </w:rPr>
        <w:t>[</w:t>
      </w:r>
      <w:r>
        <w:t>P.L.2017, c.117 (C.45:1-61 et al.)</w:t>
      </w:r>
      <w:r w:rsidRPr="009E4F7A">
        <w:rPr>
          <w:rFonts w:ascii="Albertus Extra Bold" w:hAnsi="Albertus Extra Bold"/>
          <w:b/>
        </w:rPr>
        <w:t>]</w:t>
      </w:r>
      <w:r>
        <w:t xml:space="preserve"> </w:t>
      </w:r>
      <w:r>
        <w:rPr>
          <w:u w:val="single"/>
        </w:rPr>
        <w:t>Title 45 of the Revised Statutes, or otherwise authorized to provide health care services in this State,</w:t>
      </w:r>
      <w:r>
        <w:t xml:space="preserve"> has issued a medical order for the testing; and</w:t>
      </w:r>
    </w:p>
    <w:p w:rsidR="00C61FD1" w:rsidRDefault="00C61FD1" w:rsidP="00C61FD1">
      <w:r>
        <w:tab/>
        <w:t>(2)</w:t>
      </w:r>
      <w:r>
        <w:tab/>
        <w:t>any health care services delivered to a covered person through telemedicine or telehealth in accordance with the provisions of P.L.2017, c.117 (C.45:1-61 et al.).</w:t>
      </w:r>
    </w:p>
    <w:p w:rsidR="00C61FD1" w:rsidRDefault="00C61FD1" w:rsidP="00C61FD1">
      <w:r>
        <w:tab/>
        <w:t>b.</w:t>
      </w:r>
      <w:r>
        <w:tab/>
        <w:t>The coverage shall be provided to the same extent as for any other health care services under the health benefits plan, except that no cost-sharing shall be imposed on the coverage provided pursuant to this section.</w:t>
      </w:r>
    </w:p>
    <w:p w:rsidR="00C61FD1" w:rsidRPr="0098047C" w:rsidRDefault="00C61FD1" w:rsidP="00C61FD1">
      <w:pPr>
        <w:rPr>
          <w:rFonts w:ascii="Albertus Extra Bold" w:hAnsi="Albertus Extra Bold"/>
          <w:b/>
          <w:vertAlign w:val="superscript"/>
        </w:rPr>
      </w:pPr>
      <w:r>
        <w:tab/>
        <w:t>c.</w:t>
      </w:r>
      <w:r>
        <w:tab/>
        <w:t xml:space="preserve">As used in this section, “carrier,” means an insurance company, health service corporation, hospital service corporation, medical service corporation, or health maintenance organization </w:t>
      </w:r>
      <w:r>
        <w:lastRenderedPageBreak/>
        <w:t>authorized to issue health benefits plans in this State, and shall include the State Health Benefits Program and the School Employees' Health Benefits Program.</w:t>
      </w:r>
      <w:r>
        <w:rPr>
          <w:rFonts w:ascii="Albertus Extra Bold" w:hAnsi="Albertus Extra Bold"/>
          <w:b/>
          <w:vertAlign w:val="superscript"/>
        </w:rPr>
        <w:t>1</w:t>
      </w:r>
    </w:p>
    <w:p w:rsidR="00C61FD1" w:rsidRDefault="00C61FD1" w:rsidP="00FF2718">
      <w:r>
        <w:t>(</w:t>
      </w:r>
      <w:proofErr w:type="spellStart"/>
      <w:r>
        <w:t>cf</w:t>
      </w:r>
      <w:proofErr w:type="spellEnd"/>
      <w:r>
        <w:t>: P.L.2020, c.7, s.2)</w:t>
      </w:r>
    </w:p>
    <w:p w:rsidR="00987B13" w:rsidRDefault="00987B13" w:rsidP="00FF2718"/>
    <w:p w:rsidR="00987B13" w:rsidRDefault="00987B13" w:rsidP="00FF2718">
      <w:r>
        <w:rPr>
          <w:rFonts w:ascii="Albertus Extra Bold" w:hAnsi="Albertus Extra Bold"/>
          <w:b/>
          <w:vertAlign w:val="superscript"/>
        </w:rPr>
        <w:tab/>
        <w:t>1</w:t>
      </w:r>
      <w:r w:rsidRPr="00987B13">
        <w:rPr>
          <w:rFonts w:ascii="Albertus Extra Bold" w:hAnsi="Albertus Extra Bold"/>
          <w:b/>
        </w:rPr>
        <w:t>[</w:t>
      </w:r>
      <w:r>
        <w:t>2.</w:t>
      </w:r>
      <w:r w:rsidRPr="00987B13">
        <w:rPr>
          <w:rFonts w:ascii="Albertus Extra Bold" w:hAnsi="Albertus Extra Bold"/>
          <w:b/>
        </w:rPr>
        <w:t>]</w:t>
      </w:r>
      <w:r w:rsidRPr="00987B13">
        <w:rPr>
          <w:u w:val="single"/>
        </w:rPr>
        <w:t>4.</w:t>
      </w:r>
      <w:r>
        <w:rPr>
          <w:rFonts w:ascii="Albertus Extra Bold" w:hAnsi="Albertus Extra Bold"/>
          <w:b/>
          <w:vertAlign w:val="superscript"/>
        </w:rPr>
        <w:t>1</w:t>
      </w:r>
      <w:r>
        <w:tab/>
        <w:t>This act shall take effect immediately.</w:t>
      </w:r>
    </w:p>
    <w:sectPr w:rsidR="00987B13" w:rsidSect="0042397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793D" w:rsidRDefault="00EC793D">
      <w:r>
        <w:separator/>
      </w:r>
    </w:p>
  </w:endnote>
  <w:endnote w:type="continuationSeparator" w:id="0">
    <w:p w:rsidR="00EC793D" w:rsidRDefault="00EC79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39F1" w:rsidRDefault="00E75AD6" w:rsidP="00E75AD6">
    <w:pPr>
      <w:pStyle w:val="sponUdate"/>
    </w:pPr>
    <w:r>
      <w:t>(Sponsorship Updated As Of: 6/29/2020)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1FD1" w:rsidRPr="00921C91" w:rsidRDefault="00C61FD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61FD1" w:rsidRPr="00921C91" w:rsidRDefault="00C61FD1">
    <w:pPr>
      <w:pStyle w:val="Footer"/>
      <w:rPr>
        <w:szCs w:val="18"/>
      </w:rPr>
    </w:pPr>
  </w:p>
  <w:p w:rsidR="00C61FD1" w:rsidRPr="00921C91" w:rsidRDefault="00C61FD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61FD1" w:rsidRDefault="00C61FD1" w:rsidP="00686AEB">
    <w:pPr>
      <w:pStyle w:val="Footer"/>
    </w:pPr>
    <w:r>
      <w:tab/>
      <w:t>Matter enclosed in superscript numerals has been adopted as follows:</w:t>
    </w:r>
  </w:p>
  <w:p w:rsidR="00C61FD1" w:rsidRDefault="00C61FD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June 25, 2020.</w:t>
    </w:r>
  </w:p>
  <w:p w:rsidR="00C61FD1" w:rsidRPr="00C61FD1" w:rsidRDefault="00C61FD1"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793D" w:rsidRDefault="00EC793D">
      <w:r>
        <w:separator/>
      </w:r>
    </w:p>
  </w:footnote>
  <w:footnote w:type="continuationSeparator" w:id="0">
    <w:p w:rsidR="00EC793D" w:rsidRDefault="00EC79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006D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F39F1" w:rsidRDefault="002F39F1" w:rsidP="002F39F1">
    <w:pPr>
      <w:pStyle w:val="bpuHeadSpon"/>
    </w:pPr>
    <w:r w:rsidRPr="00423974">
      <w:rPr>
        <w:rStyle w:val="bpuHeadSponChar"/>
      </w:rPr>
      <w:t>A4012</w:t>
    </w:r>
    <w:r>
      <w:t xml:space="preserve"> </w:t>
    </w:r>
    <w:r w:rsidR="00C61FD1">
      <w:t xml:space="preserve">[1R] </w:t>
    </w:r>
    <w:r>
      <w:t>MUKHERJI, BENSON</w:t>
    </w:r>
  </w:p>
  <w:p w:rsidR="00423974" w:rsidRDefault="00423974" w:rsidP="00423974">
    <w:pPr>
      <w:pStyle w:val="bpuHeadSpon"/>
    </w:pPr>
    <w:r>
      <w:fldChar w:fldCharType="begin"/>
    </w:r>
    <w:r>
      <w:instrText xml:space="preserve"> PAGE  \* MERGEFORMAT </w:instrText>
    </w:r>
    <w:r>
      <w:fldChar w:fldCharType="separate"/>
    </w:r>
    <w:r w:rsidR="003006D7">
      <w:rPr>
        <w:noProof/>
      </w:rPr>
      <w:t>4</w:t>
    </w:r>
    <w:r>
      <w:fldChar w:fldCharType="end"/>
    </w:r>
  </w:p>
  <w:p w:rsidR="00423974" w:rsidRDefault="00423974" w:rsidP="0042397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23974" w:rsidRDefault="00423974" w:rsidP="00423974">
    <w:pPr>
      <w:pStyle w:val="bpuHeadSpon"/>
    </w:pPr>
    <w:r w:rsidRPr="00423974">
      <w:rPr>
        <w:rStyle w:val="bpuHeadSponChar"/>
      </w:rPr>
      <w:t>A4012</w:t>
    </w:r>
    <w:r>
      <w:t xml:space="preserve"> </w:t>
    </w:r>
    <w:r w:rsidR="00C61FD1">
      <w:t xml:space="preserve">[1R] </w:t>
    </w:r>
    <w:r>
      <w:t>MUKHERJI</w:t>
    </w:r>
    <w:r w:rsidR="002F39F1">
      <w:t>, BENSON</w:t>
    </w:r>
  </w:p>
  <w:p w:rsidR="00423974" w:rsidRDefault="00423974" w:rsidP="00423974">
    <w:pPr>
      <w:pStyle w:val="bpuHeadSpon"/>
    </w:pPr>
    <w:r>
      <w:fldChar w:fldCharType="begin"/>
    </w:r>
    <w:r>
      <w:instrText xml:space="preserve"> PAGE  \* MERGEFORMAT </w:instrText>
    </w:r>
    <w:r>
      <w:fldChar w:fldCharType="separate"/>
    </w:r>
    <w:r w:rsidR="003006D7">
      <w:rPr>
        <w:noProof/>
      </w:rPr>
      <w:t>2</w:t>
    </w:r>
    <w:r>
      <w:fldChar w:fldCharType="end"/>
    </w:r>
  </w:p>
  <w:p w:rsidR="00423974" w:rsidRDefault="00423974" w:rsidP="0042397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93D"/>
    <w:rsid w:val="000051BD"/>
    <w:rsid w:val="000160A5"/>
    <w:rsid w:val="0002335B"/>
    <w:rsid w:val="0003549A"/>
    <w:rsid w:val="000367AE"/>
    <w:rsid w:val="00041850"/>
    <w:rsid w:val="00043B22"/>
    <w:rsid w:val="00054975"/>
    <w:rsid w:val="00057D20"/>
    <w:rsid w:val="0006197C"/>
    <w:rsid w:val="0006281F"/>
    <w:rsid w:val="0008141C"/>
    <w:rsid w:val="00094A55"/>
    <w:rsid w:val="000A44A7"/>
    <w:rsid w:val="000B1054"/>
    <w:rsid w:val="000B3411"/>
    <w:rsid w:val="000C054C"/>
    <w:rsid w:val="000C12C2"/>
    <w:rsid w:val="000C1EEB"/>
    <w:rsid w:val="000D11AF"/>
    <w:rsid w:val="000D6255"/>
    <w:rsid w:val="000D6262"/>
    <w:rsid w:val="000D7B4A"/>
    <w:rsid w:val="000E4006"/>
    <w:rsid w:val="000F3DA2"/>
    <w:rsid w:val="000F5FDE"/>
    <w:rsid w:val="000F7466"/>
    <w:rsid w:val="0012205B"/>
    <w:rsid w:val="0013000E"/>
    <w:rsid w:val="00133F81"/>
    <w:rsid w:val="00135943"/>
    <w:rsid w:val="00136642"/>
    <w:rsid w:val="00163605"/>
    <w:rsid w:val="001645FB"/>
    <w:rsid w:val="00173D2B"/>
    <w:rsid w:val="00181676"/>
    <w:rsid w:val="00183603"/>
    <w:rsid w:val="001872FA"/>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70DB"/>
    <w:rsid w:val="00212075"/>
    <w:rsid w:val="00212B8D"/>
    <w:rsid w:val="00222983"/>
    <w:rsid w:val="00226775"/>
    <w:rsid w:val="00230FEF"/>
    <w:rsid w:val="002370D0"/>
    <w:rsid w:val="00255958"/>
    <w:rsid w:val="00257FA2"/>
    <w:rsid w:val="00264A9D"/>
    <w:rsid w:val="0026574A"/>
    <w:rsid w:val="002660BB"/>
    <w:rsid w:val="002720E8"/>
    <w:rsid w:val="00275293"/>
    <w:rsid w:val="002776B0"/>
    <w:rsid w:val="00286C7E"/>
    <w:rsid w:val="002A1029"/>
    <w:rsid w:val="002A10A3"/>
    <w:rsid w:val="002A3A1A"/>
    <w:rsid w:val="002A4692"/>
    <w:rsid w:val="002A51BA"/>
    <w:rsid w:val="002B2E26"/>
    <w:rsid w:val="002B3FE6"/>
    <w:rsid w:val="002C2D81"/>
    <w:rsid w:val="002C461E"/>
    <w:rsid w:val="002C6CEC"/>
    <w:rsid w:val="002E09CE"/>
    <w:rsid w:val="002E69D1"/>
    <w:rsid w:val="002F39F1"/>
    <w:rsid w:val="002F3BA6"/>
    <w:rsid w:val="003006D7"/>
    <w:rsid w:val="00306C9B"/>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7A27"/>
    <w:rsid w:val="0040195A"/>
    <w:rsid w:val="00402DC0"/>
    <w:rsid w:val="00416C4B"/>
    <w:rsid w:val="0041751E"/>
    <w:rsid w:val="004211E5"/>
    <w:rsid w:val="00422091"/>
    <w:rsid w:val="00423974"/>
    <w:rsid w:val="0043386C"/>
    <w:rsid w:val="00436F2D"/>
    <w:rsid w:val="00436F5D"/>
    <w:rsid w:val="00441B42"/>
    <w:rsid w:val="0045118A"/>
    <w:rsid w:val="00455D51"/>
    <w:rsid w:val="00456BF9"/>
    <w:rsid w:val="00461057"/>
    <w:rsid w:val="00465F9C"/>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078B"/>
    <w:rsid w:val="00501317"/>
    <w:rsid w:val="005037AE"/>
    <w:rsid w:val="0050495C"/>
    <w:rsid w:val="00505DC9"/>
    <w:rsid w:val="00506E1E"/>
    <w:rsid w:val="00513C81"/>
    <w:rsid w:val="00527BFB"/>
    <w:rsid w:val="00532A32"/>
    <w:rsid w:val="00540B0B"/>
    <w:rsid w:val="0054460F"/>
    <w:rsid w:val="005536CD"/>
    <w:rsid w:val="00554051"/>
    <w:rsid w:val="00557240"/>
    <w:rsid w:val="005578BB"/>
    <w:rsid w:val="005651F3"/>
    <w:rsid w:val="00572184"/>
    <w:rsid w:val="00575BC5"/>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069C0"/>
    <w:rsid w:val="0061156F"/>
    <w:rsid w:val="00613FF5"/>
    <w:rsid w:val="006155A8"/>
    <w:rsid w:val="00621B94"/>
    <w:rsid w:val="00626239"/>
    <w:rsid w:val="00635316"/>
    <w:rsid w:val="00635449"/>
    <w:rsid w:val="006378C5"/>
    <w:rsid w:val="00637A11"/>
    <w:rsid w:val="00645E6A"/>
    <w:rsid w:val="00665CBC"/>
    <w:rsid w:val="00667A5C"/>
    <w:rsid w:val="00677316"/>
    <w:rsid w:val="00685CA6"/>
    <w:rsid w:val="00686AEB"/>
    <w:rsid w:val="006B414F"/>
    <w:rsid w:val="006B7897"/>
    <w:rsid w:val="006B7FA7"/>
    <w:rsid w:val="006C086A"/>
    <w:rsid w:val="006C21C1"/>
    <w:rsid w:val="006C2491"/>
    <w:rsid w:val="006C7327"/>
    <w:rsid w:val="006D00E5"/>
    <w:rsid w:val="006D791B"/>
    <w:rsid w:val="006E025B"/>
    <w:rsid w:val="006E2895"/>
    <w:rsid w:val="006F180D"/>
    <w:rsid w:val="006F4334"/>
    <w:rsid w:val="006F47AF"/>
    <w:rsid w:val="006F6B8A"/>
    <w:rsid w:val="00707CD3"/>
    <w:rsid w:val="00716BB9"/>
    <w:rsid w:val="007256D1"/>
    <w:rsid w:val="007279FD"/>
    <w:rsid w:val="00734904"/>
    <w:rsid w:val="007502CB"/>
    <w:rsid w:val="00752D79"/>
    <w:rsid w:val="00752E20"/>
    <w:rsid w:val="00756EDE"/>
    <w:rsid w:val="0075795C"/>
    <w:rsid w:val="00770309"/>
    <w:rsid w:val="00781B4D"/>
    <w:rsid w:val="007824BF"/>
    <w:rsid w:val="00783B8D"/>
    <w:rsid w:val="00793B52"/>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5ACC"/>
    <w:rsid w:val="008573B0"/>
    <w:rsid w:val="00866563"/>
    <w:rsid w:val="00867AC2"/>
    <w:rsid w:val="0087056E"/>
    <w:rsid w:val="00875402"/>
    <w:rsid w:val="00884D51"/>
    <w:rsid w:val="008916EC"/>
    <w:rsid w:val="00891E4F"/>
    <w:rsid w:val="008A31C5"/>
    <w:rsid w:val="008A4F9A"/>
    <w:rsid w:val="008A6697"/>
    <w:rsid w:val="008B2850"/>
    <w:rsid w:val="008B2F00"/>
    <w:rsid w:val="008C79B3"/>
    <w:rsid w:val="008D77BD"/>
    <w:rsid w:val="008E454C"/>
    <w:rsid w:val="008F1E5A"/>
    <w:rsid w:val="00901BDA"/>
    <w:rsid w:val="009121D8"/>
    <w:rsid w:val="00916F7A"/>
    <w:rsid w:val="00917FE3"/>
    <w:rsid w:val="009318C7"/>
    <w:rsid w:val="00931C09"/>
    <w:rsid w:val="009348C2"/>
    <w:rsid w:val="009415BD"/>
    <w:rsid w:val="009440D0"/>
    <w:rsid w:val="00944EBB"/>
    <w:rsid w:val="009523A3"/>
    <w:rsid w:val="00957FF1"/>
    <w:rsid w:val="00960958"/>
    <w:rsid w:val="00963A46"/>
    <w:rsid w:val="00966A3E"/>
    <w:rsid w:val="00971493"/>
    <w:rsid w:val="00971AD9"/>
    <w:rsid w:val="00973069"/>
    <w:rsid w:val="00973523"/>
    <w:rsid w:val="00980766"/>
    <w:rsid w:val="009835D4"/>
    <w:rsid w:val="009865D4"/>
    <w:rsid w:val="00987B13"/>
    <w:rsid w:val="00992AD3"/>
    <w:rsid w:val="00997152"/>
    <w:rsid w:val="009972CD"/>
    <w:rsid w:val="009A0E9C"/>
    <w:rsid w:val="009A45DA"/>
    <w:rsid w:val="009B06D2"/>
    <w:rsid w:val="009B34EC"/>
    <w:rsid w:val="009B5D67"/>
    <w:rsid w:val="009B605E"/>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5787"/>
    <w:rsid w:val="00A84C4F"/>
    <w:rsid w:val="00A932A1"/>
    <w:rsid w:val="00A96E06"/>
    <w:rsid w:val="00AA3CDF"/>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103C"/>
    <w:rsid w:val="00B2574A"/>
    <w:rsid w:val="00B27E69"/>
    <w:rsid w:val="00B30959"/>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4AF4"/>
    <w:rsid w:val="00C04F4D"/>
    <w:rsid w:val="00C12E48"/>
    <w:rsid w:val="00C13D14"/>
    <w:rsid w:val="00C15F53"/>
    <w:rsid w:val="00C23F09"/>
    <w:rsid w:val="00C25356"/>
    <w:rsid w:val="00C328D0"/>
    <w:rsid w:val="00C46BC1"/>
    <w:rsid w:val="00C5235F"/>
    <w:rsid w:val="00C54CE2"/>
    <w:rsid w:val="00C61FD1"/>
    <w:rsid w:val="00C66BF3"/>
    <w:rsid w:val="00C70140"/>
    <w:rsid w:val="00C73CA7"/>
    <w:rsid w:val="00C822F6"/>
    <w:rsid w:val="00C82AC2"/>
    <w:rsid w:val="00C8456C"/>
    <w:rsid w:val="00C85D26"/>
    <w:rsid w:val="00C91E19"/>
    <w:rsid w:val="00C92402"/>
    <w:rsid w:val="00C92867"/>
    <w:rsid w:val="00C93689"/>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302F"/>
    <w:rsid w:val="00D9410B"/>
    <w:rsid w:val="00D9695B"/>
    <w:rsid w:val="00DA2417"/>
    <w:rsid w:val="00DA5585"/>
    <w:rsid w:val="00DA61E9"/>
    <w:rsid w:val="00DB02AC"/>
    <w:rsid w:val="00DB1DC9"/>
    <w:rsid w:val="00DB6AA2"/>
    <w:rsid w:val="00DD1D90"/>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5204"/>
    <w:rsid w:val="00E608F1"/>
    <w:rsid w:val="00E611B9"/>
    <w:rsid w:val="00E6350F"/>
    <w:rsid w:val="00E7144F"/>
    <w:rsid w:val="00E73D74"/>
    <w:rsid w:val="00E75AD6"/>
    <w:rsid w:val="00E76A79"/>
    <w:rsid w:val="00E80692"/>
    <w:rsid w:val="00E80C24"/>
    <w:rsid w:val="00E93836"/>
    <w:rsid w:val="00EA7C16"/>
    <w:rsid w:val="00EC5281"/>
    <w:rsid w:val="00EC6D17"/>
    <w:rsid w:val="00EC791D"/>
    <w:rsid w:val="00EC793D"/>
    <w:rsid w:val="00EC7CA6"/>
    <w:rsid w:val="00ED3C5D"/>
    <w:rsid w:val="00ED4553"/>
    <w:rsid w:val="00F00D08"/>
    <w:rsid w:val="00F06671"/>
    <w:rsid w:val="00F15583"/>
    <w:rsid w:val="00F200EE"/>
    <w:rsid w:val="00F22481"/>
    <w:rsid w:val="00F2542E"/>
    <w:rsid w:val="00F27278"/>
    <w:rsid w:val="00F344E3"/>
    <w:rsid w:val="00F34D58"/>
    <w:rsid w:val="00F41A9D"/>
    <w:rsid w:val="00F44314"/>
    <w:rsid w:val="00F54B9C"/>
    <w:rsid w:val="00F54DEF"/>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271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4017C9E-CCA2-41B6-9623-32D62E370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23974"/>
  </w:style>
  <w:style w:type="paragraph" w:styleId="BalloonText">
    <w:name w:val="Balloon Text"/>
    <w:basedOn w:val="Normal"/>
    <w:link w:val="BalloonTextChar"/>
    <w:semiHidden/>
    <w:unhideWhenUsed/>
    <w:rsid w:val="00D7302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7302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921</Words>
  <Characters>5094</Characters>
  <Application>Microsoft Office Word</Application>
  <DocSecurity>0</DocSecurity>
  <Lines>130</Lines>
  <Paragraphs>42</Paragraphs>
  <ScaleCrop>false</ScaleCrop>
  <HeadingPairs>
    <vt:vector size="2" baseType="variant">
      <vt:variant>
        <vt:lpstr>Title</vt:lpstr>
      </vt:variant>
      <vt:variant>
        <vt:i4>1</vt:i4>
      </vt:variant>
    </vt:vector>
  </HeadingPairs>
  <TitlesOfParts>
    <vt:vector size="1" baseType="lpstr">
      <vt:lpstr>A4012 1R</vt:lpstr>
    </vt:vector>
  </TitlesOfParts>
  <Manager>R229</Manager>
  <Company>NJ Office of Legislative Services</Company>
  <LinksUpToDate>false</LinksUpToDate>
  <CharactersWithSpaces>6011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A4012 1R</dc:title>
  <dc:subject>20-7123</dc:subject>
  <dc:creator>Assemblymen  MUKHERJI and BENSON</dc:creator>
  <cp:keywords>A4012|4|HS |259|219|219|!||</cp:keywords>
  <dc:description>INTRODUCED MAY 4, 2020_x000d_
AMENDED JUNE 25, 2020</dc:description>
  <cp:lastModifiedBy>Siracusa, Nicole</cp:lastModifiedBy>
  <cp:revision>2</cp:revision>
  <cp:lastPrinted>2020-06-30T18:58:00Z</cp:lastPrinted>
  <dcterms:created xsi:type="dcterms:W3CDTF">2020-09-28T16:57:00Z</dcterms:created>
  <dcterms:modified xsi:type="dcterms:W3CDTF">2020-09-28T16:57:00Z</dcterms:modified>
  <cp:category>s.1: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