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49A" w:rsidRDefault="0078349A" w:rsidP="0078349A">
      <w:pPr>
        <w:pStyle w:val="bpuBill"/>
      </w:pPr>
      <w:bookmarkStart w:id="0" w:name="bpuFrontPg"/>
      <w:bookmarkStart w:id="1" w:name="_GoBack"/>
      <w:bookmarkEnd w:id="0"/>
      <w:bookmarkEnd w:id="1"/>
      <w:r>
        <w:t xml:space="preserve">ASSEMBLY, No. 4096 </w:t>
      </w:r>
    </w:p>
    <w:p w:rsidR="0078349A" w:rsidRPr="009D38FF" w:rsidRDefault="0078349A" w:rsidP="007834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351" r:id="rId7"/>
        </w:object>
      </w:r>
    </w:p>
    <w:p w:rsidR="0078349A" w:rsidRDefault="0078349A" w:rsidP="0078349A">
      <w:pPr>
        <w:pStyle w:val="bpuState"/>
      </w:pPr>
      <w:r>
        <w:t>STATE OF NEW JERSEY</w:t>
      </w:r>
    </w:p>
    <w:p w:rsidR="0078349A" w:rsidRDefault="0078349A" w:rsidP="0078349A">
      <w:pPr>
        <w:pStyle w:val="bpuLegislature"/>
      </w:pPr>
      <w:proofErr w:type="gramStart"/>
      <w:r>
        <w:t>219th</w:t>
      </w:r>
      <w:proofErr w:type="gramEnd"/>
      <w:r>
        <w:t xml:space="preserve"> LEGISLATURE</w:t>
      </w:r>
    </w:p>
    <w:p w:rsidR="0078349A" w:rsidRDefault="0078349A" w:rsidP="0078349A">
      <w:pPr>
        <w:pStyle w:val="bpuWpGraphic"/>
      </w:pPr>
      <w:r>
        <w:object w:dxaOrig="8985" w:dyaOrig="255">
          <v:shape id="_x0000_i1026" type="#_x0000_t75" style="width:6in;height:12.1pt" o:ole="">
            <v:imagedata r:id="rId6" o:title=""/>
          </v:shape>
          <o:OLEObject Type="Embed" ProgID="WPWin6.1" ShapeID="_x0000_i1026" DrawAspect="Content" ObjectID="_1650376352" r:id="rId8"/>
        </w:object>
      </w:r>
      <w:r>
        <w:t xml:space="preserve">  </w:t>
      </w:r>
    </w:p>
    <w:p w:rsidR="0078349A" w:rsidRDefault="0078349A" w:rsidP="0078349A">
      <w:pPr>
        <w:pStyle w:val="bpuIntro"/>
      </w:pPr>
      <w:r>
        <w:t>INTRODUCED MAY 7, 2020</w:t>
      </w:r>
    </w:p>
    <w:p w:rsidR="0078349A" w:rsidRDefault="0078349A" w:rsidP="0078349A">
      <w:pPr>
        <w:pStyle w:val="bpuIntro"/>
      </w:pPr>
    </w:p>
    <w:p w:rsidR="0078349A" w:rsidRDefault="0078349A" w:rsidP="0078349A">
      <w:pPr>
        <w:pStyle w:val="bpuIntro"/>
        <w:sectPr w:rsidR="0078349A" w:rsidSect="0078349A">
          <w:headerReference w:type="even" r:id="rId9"/>
          <w:headerReference w:type="default" r:id="rId10"/>
          <w:pgSz w:w="12240" w:h="20160" w:code="5"/>
          <w:pgMar w:top="2160" w:right="1440" w:bottom="1440" w:left="1440" w:header="72" w:footer="720" w:gutter="0"/>
          <w:pgNumType w:start="1"/>
          <w:cols w:space="720"/>
          <w:docGrid w:linePitch="360"/>
        </w:sectPr>
      </w:pPr>
    </w:p>
    <w:p w:rsidR="0078349A" w:rsidRDefault="0078349A" w:rsidP="0078349A">
      <w:pPr>
        <w:pStyle w:val="bpuIntro"/>
      </w:pPr>
    </w:p>
    <w:p w:rsidR="0078349A" w:rsidRDefault="0078349A" w:rsidP="0078349A">
      <w:pPr>
        <w:pStyle w:val="bpuSponsor"/>
      </w:pPr>
      <w:r>
        <w:t>Sponsored by:</w:t>
      </w:r>
    </w:p>
    <w:p w:rsidR="0078349A" w:rsidRDefault="0078349A" w:rsidP="0078349A">
      <w:pPr>
        <w:pStyle w:val="bpuSponsor"/>
      </w:pPr>
      <w:proofErr w:type="gramStart"/>
      <w:r>
        <w:t>Assemblyman  RONALD</w:t>
      </w:r>
      <w:proofErr w:type="gramEnd"/>
      <w:r>
        <w:t xml:space="preserve"> S. DANCER</w:t>
      </w:r>
    </w:p>
    <w:p w:rsidR="0078349A" w:rsidRDefault="0078349A" w:rsidP="0078349A">
      <w:pPr>
        <w:pStyle w:val="bpuSponsor"/>
      </w:pPr>
      <w:r>
        <w:t>District 12 (Burlington, Middlesex, Monmouth and Ocean)</w:t>
      </w:r>
    </w:p>
    <w:p w:rsidR="0078349A" w:rsidRDefault="0078349A" w:rsidP="0078349A">
      <w:pPr>
        <w:pStyle w:val="bpuSponsor"/>
      </w:pPr>
    </w:p>
    <w:p w:rsidR="0078349A" w:rsidRDefault="0078349A" w:rsidP="0078349A">
      <w:pPr>
        <w:pStyle w:val="bpuSponsor"/>
      </w:pPr>
    </w:p>
    <w:p w:rsidR="0078349A" w:rsidRDefault="0078349A" w:rsidP="0078349A">
      <w:pPr>
        <w:pStyle w:val="bpuSponsor"/>
      </w:pPr>
    </w:p>
    <w:p w:rsidR="0078349A" w:rsidRDefault="0078349A" w:rsidP="0078349A">
      <w:pPr>
        <w:pStyle w:val="bpuSponsor"/>
      </w:pPr>
    </w:p>
    <w:p w:rsidR="0078349A" w:rsidRDefault="0078349A" w:rsidP="0078349A">
      <w:pPr>
        <w:pStyle w:val="bpuSponsor"/>
      </w:pPr>
      <w:r>
        <w:t>SYNOPSIS</w:t>
      </w:r>
    </w:p>
    <w:p w:rsidR="0078349A" w:rsidRDefault="0078349A" w:rsidP="0078349A">
      <w:pPr>
        <w:pStyle w:val="bpuNormText"/>
      </w:pPr>
      <w:r>
        <w:tab/>
        <w:t xml:space="preserve">Restores parity among public utilities with regard to formula used to calculate amount of refund given to developers for extension of public utility infrastructure. </w:t>
      </w:r>
    </w:p>
    <w:p w:rsidR="0078349A" w:rsidRDefault="0078349A" w:rsidP="0078349A">
      <w:pPr>
        <w:pStyle w:val="bpuNormText"/>
      </w:pPr>
    </w:p>
    <w:p w:rsidR="0078349A" w:rsidRDefault="0078349A" w:rsidP="0078349A">
      <w:pPr>
        <w:pStyle w:val="bpuSponsor"/>
      </w:pPr>
      <w:r>
        <w:t xml:space="preserve">CURRENT VERSION OF TEXT </w:t>
      </w:r>
    </w:p>
    <w:p w:rsidR="0078349A" w:rsidRDefault="0078349A" w:rsidP="0078349A">
      <w:pPr>
        <w:pStyle w:val="bpuNormText"/>
      </w:pPr>
      <w:r>
        <w:tab/>
        <w:t>As introduced.</w:t>
      </w:r>
    </w:p>
    <w:p w:rsidR="0078349A" w:rsidRDefault="0078349A" w:rsidP="007834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349A" w:rsidRDefault="0078349A" w:rsidP="008916EC">
      <w:pPr>
        <w:pStyle w:val="FronterPage"/>
        <w:tabs>
          <w:tab w:val="clear" w:pos="720"/>
          <w:tab w:val="clear" w:pos="1440"/>
          <w:tab w:val="clear" w:pos="2160"/>
          <w:tab w:val="clear" w:pos="2880"/>
          <w:tab w:val="clear" w:pos="3600"/>
          <w:tab w:val="clear" w:pos="4320"/>
          <w:tab w:val="clear" w:pos="5040"/>
        </w:tabs>
        <w:sectPr w:rsidR="0078349A" w:rsidSect="0078349A">
          <w:type w:val="continuous"/>
          <w:pgSz w:w="12240" w:h="20160" w:code="5"/>
          <w:pgMar w:top="1440" w:right="2275" w:bottom="1440" w:left="2275" w:header="72" w:footer="720" w:gutter="0"/>
          <w:pgNumType w:start="1"/>
          <w:cols w:space="720"/>
          <w:docGrid w:linePitch="360"/>
        </w:sectPr>
      </w:pPr>
    </w:p>
    <w:p w:rsidR="00894602" w:rsidRPr="00677316" w:rsidRDefault="00894602" w:rsidP="004C6871">
      <w:pPr>
        <w:pStyle w:val="HangingAnAct"/>
        <w:rPr>
          <w:rStyle w:val="HangingAnActChar"/>
        </w:rPr>
      </w:pPr>
      <w:r w:rsidRPr="00894602">
        <w:rPr>
          <w:rStyle w:val="BillHead"/>
        </w:rPr>
        <w:lastRenderedPageBreak/>
        <w:t>An Act</w:t>
      </w:r>
      <w:r w:rsidRPr="006B7FA7">
        <w:rPr>
          <w:rStyle w:val="HangingAnActChar"/>
        </w:rPr>
        <w:t xml:space="preserve"> </w:t>
      </w:r>
      <w:r w:rsidRPr="00C94676">
        <w:rPr>
          <w:rStyle w:val="HangingAnActChar"/>
        </w:rPr>
        <w:t>concerning the extension of public utility infrastructure and amending R.S.48:2-27.</w:t>
      </w:r>
    </w:p>
    <w:p w:rsidR="00894602" w:rsidRPr="00D71D68" w:rsidRDefault="00894602" w:rsidP="00894602"/>
    <w:p w:rsidR="00894602" w:rsidRPr="00AA7880" w:rsidRDefault="00894602" w:rsidP="0089460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94602" w:rsidRDefault="00894602" w:rsidP="00894602"/>
    <w:p w:rsidR="00894602" w:rsidRDefault="004C6871" w:rsidP="00894602">
      <w:r>
        <w:tab/>
        <w:t>1.</w:t>
      </w:r>
      <w:r>
        <w:tab/>
      </w:r>
      <w:r w:rsidR="00894602">
        <w:t xml:space="preserve">R.S.48:2-27 </w:t>
      </w:r>
      <w:proofErr w:type="gramStart"/>
      <w:r w:rsidR="00894602">
        <w:t>is amended</w:t>
      </w:r>
      <w:proofErr w:type="gramEnd"/>
      <w:r w:rsidR="00894602">
        <w:t xml:space="preserve"> to read as follows:</w:t>
      </w:r>
    </w:p>
    <w:p w:rsidR="00894602" w:rsidRDefault="00894602" w:rsidP="00894602">
      <w:r>
        <w:tab/>
      </w:r>
      <w:r w:rsidRPr="006D4A63">
        <w:rPr>
          <w:u w:val="single"/>
        </w:rPr>
        <w:t>48:2-27</w:t>
      </w:r>
      <w:proofErr w:type="gramStart"/>
      <w:r w:rsidRPr="006D4A63">
        <w:rPr>
          <w:u w:val="single"/>
        </w:rPr>
        <w:t xml:space="preserve">.  </w:t>
      </w:r>
      <w:r>
        <w:rPr>
          <w:u w:val="single"/>
        </w:rPr>
        <w:t>1</w:t>
      </w:r>
      <w:proofErr w:type="gramEnd"/>
      <w:r>
        <w:rPr>
          <w:u w:val="single"/>
        </w:rPr>
        <w:t xml:space="preserve">.  </w:t>
      </w:r>
      <w:proofErr w:type="gramStart"/>
      <w:r>
        <w:rPr>
          <w:u w:val="single"/>
        </w:rPr>
        <w:t>a.</w:t>
      </w:r>
      <w:r>
        <w:t xml:space="preserve">  The board may, after hearing, upon notice, by order in writing, require any public utility to establish, construct, maintain</w:t>
      </w:r>
      <w:r>
        <w:rPr>
          <w:u w:val="single"/>
        </w:rPr>
        <w:t>,</w:t>
      </w:r>
      <w:r>
        <w:t xml:space="preserve"> and operate any reasonable extension of its existing facilities where, in the judgment of the board, the extension is reasonable and practicable</w:t>
      </w:r>
      <w:r>
        <w:rPr>
          <w:u w:val="single"/>
        </w:rPr>
        <w:t>;</w:t>
      </w:r>
      <w:r>
        <w:t xml:space="preserve"> and </w:t>
      </w:r>
      <w:r>
        <w:rPr>
          <w:u w:val="single"/>
        </w:rPr>
        <w:t>the extension</w:t>
      </w:r>
      <w:r>
        <w:t xml:space="preserve"> will furnish sufficient business to  justify the construction and maintenance of the </w:t>
      </w:r>
      <w:r w:rsidRPr="008356A4">
        <w:rPr>
          <w:rFonts w:ascii="Albertus Extra Bold" w:hAnsi="Albertus Extra Bold"/>
          <w:b/>
        </w:rPr>
        <w:t>[</w:t>
      </w:r>
      <w:r>
        <w:t>same</w:t>
      </w:r>
      <w:r w:rsidRPr="007A1830">
        <w:rPr>
          <w:rFonts w:ascii="Albertus Extra Bold" w:hAnsi="Albertus Extra Bold"/>
          <w:b/>
        </w:rPr>
        <w:t>]</w:t>
      </w:r>
      <w:r>
        <w:t xml:space="preserve"> </w:t>
      </w:r>
      <w:r>
        <w:rPr>
          <w:u w:val="single"/>
        </w:rPr>
        <w:t>extension;</w:t>
      </w:r>
      <w:r>
        <w:t xml:space="preserve"> and when the financial condition of the public utility reasonably warrants the original expenditure required in making and operating the extension.</w:t>
      </w:r>
      <w:proofErr w:type="gramEnd"/>
    </w:p>
    <w:p w:rsidR="00894602" w:rsidRPr="0015650B" w:rsidRDefault="00894602" w:rsidP="00894602">
      <w:pPr>
        <w:rPr>
          <w:u w:val="single"/>
        </w:rPr>
      </w:pPr>
      <w:r>
        <w:tab/>
      </w:r>
      <w:proofErr w:type="gramStart"/>
      <w:r>
        <w:rPr>
          <w:u w:val="single"/>
        </w:rPr>
        <w:t>b.  A</w:t>
      </w:r>
      <w:proofErr w:type="gramEnd"/>
      <w:r>
        <w:rPr>
          <w:u w:val="single"/>
        </w:rPr>
        <w:t xml:space="preserve"> public utility shall grant an annual refund to a developer of an extension, constructed pursuant to subsection a. of this section, for a period of ten years.  The public utility shall grant the first annual refund one year after the public utility receives a deposit from the developer for the extension.  Each annual refund shall be in an amount equal to 10 times the annual revenue derived by the public utility from the extension.  Any costs incurred by a public utility pursuant to this subsection shall be recoverable in the public utility’s base rate case.</w:t>
      </w:r>
    </w:p>
    <w:p w:rsidR="00894602" w:rsidRDefault="00894602" w:rsidP="00894602">
      <w:r>
        <w:t>(</w:t>
      </w:r>
      <w:proofErr w:type="spellStart"/>
      <w:r>
        <w:t>cf</w:t>
      </w:r>
      <w:proofErr w:type="spellEnd"/>
      <w:r>
        <w:t>: R.S.48:2-27)</w:t>
      </w:r>
    </w:p>
    <w:p w:rsidR="00894602" w:rsidRDefault="00894602" w:rsidP="00894602"/>
    <w:p w:rsidR="00894602" w:rsidRDefault="00894602" w:rsidP="00894602">
      <w:r>
        <w:tab/>
        <w:t>2.</w:t>
      </w:r>
      <w:r w:rsidR="000671A9">
        <w:tab/>
      </w:r>
      <w:r>
        <w:t>This act shall take effect immediately.</w:t>
      </w:r>
    </w:p>
    <w:p w:rsidR="00894602" w:rsidRDefault="00894602" w:rsidP="00894602"/>
    <w:p w:rsidR="00894602" w:rsidRPr="00CE7BD8" w:rsidRDefault="00894602" w:rsidP="00894602"/>
    <w:p w:rsidR="00894602" w:rsidRPr="00AA7880" w:rsidRDefault="00894602" w:rsidP="00894602">
      <w:pPr>
        <w:jc w:val="center"/>
      </w:pPr>
      <w:r w:rsidRPr="00D71D68">
        <w:t>STATEMENT</w:t>
      </w:r>
    </w:p>
    <w:p w:rsidR="00894602" w:rsidRDefault="00894602" w:rsidP="00894602"/>
    <w:p w:rsidR="00894602" w:rsidRDefault="00894602" w:rsidP="00894602">
      <w:r>
        <w:tab/>
        <w:t xml:space="preserve">This bill requires a public utility (utility) to </w:t>
      </w:r>
      <w:r w:rsidRPr="00D43616">
        <w:t>grant an annual refund to a developer of an extension</w:t>
      </w:r>
      <w:r>
        <w:t xml:space="preserve"> of public utility infrastructure </w:t>
      </w:r>
      <w:r w:rsidRPr="00D43616">
        <w:t>for a p</w:t>
      </w:r>
      <w:r>
        <w:t>eriod of ten years.  The utility is to</w:t>
      </w:r>
      <w:r w:rsidRPr="00D43616">
        <w:t xml:space="preserve"> grant the first annual r</w:t>
      </w:r>
      <w:r>
        <w:t xml:space="preserve">efund one year after the </w:t>
      </w:r>
      <w:r w:rsidRPr="00D43616">
        <w:t>utility receives a deposit from the developer for the extension.  Each annual refu</w:t>
      </w:r>
      <w:r>
        <w:t>nd is to</w:t>
      </w:r>
      <w:r w:rsidRPr="00D43616">
        <w:t xml:space="preserve"> be in an amount equal to 10 times the annua</w:t>
      </w:r>
      <w:r>
        <w:t xml:space="preserve">l revenue derived by the </w:t>
      </w:r>
      <w:r w:rsidRPr="00D43616">
        <w:t xml:space="preserve">utility from the extension.  </w:t>
      </w:r>
      <w:r w:rsidRPr="002005CE">
        <w:t>Any costs incurred by a uti</w:t>
      </w:r>
      <w:r>
        <w:t xml:space="preserve">lity pursuant to the bill’s provisions are to be recoverable in the utility’s </w:t>
      </w:r>
      <w:r w:rsidRPr="002005CE">
        <w:t>rate case.</w:t>
      </w:r>
    </w:p>
    <w:p w:rsidR="004C6871" w:rsidRDefault="00894602" w:rsidP="004C6871">
      <w:r>
        <w:tab/>
        <w:t>In 2005, the board promulgated regulations concerning extensions of utility infrastructure that</w:t>
      </w:r>
      <w:r w:rsidRPr="00F927F1">
        <w:t xml:space="preserve"> containe</w:t>
      </w:r>
      <w:r>
        <w:t xml:space="preserve">d different provisions for extensions </w:t>
      </w:r>
      <w:r w:rsidRPr="00F927F1">
        <w:t>built to serve</w:t>
      </w:r>
      <w:r>
        <w:t xml:space="preserve"> designated smart growth areas and extensions built to serve areas </w:t>
      </w:r>
      <w:r w:rsidRPr="00F927F1">
        <w:t>not designated for growth</w:t>
      </w:r>
      <w:r>
        <w:t xml:space="preserve">.  In 2009, the Appellate Division held that these regulations exceeded </w:t>
      </w:r>
      <w:r w:rsidR="004C6871">
        <w:br w:type="page"/>
      </w:r>
    </w:p>
    <w:p w:rsidR="00894602" w:rsidRDefault="00894602" w:rsidP="00894602">
      <w:proofErr w:type="gramStart"/>
      <w:r>
        <w:lastRenderedPageBreak/>
        <w:t>the</w:t>
      </w:r>
      <w:proofErr w:type="gramEnd"/>
      <w:r>
        <w:t xml:space="preserve"> board’s regulatory authority. </w:t>
      </w:r>
      <w:r w:rsidRPr="00A228A5">
        <w:rPr>
          <w:u w:val="single"/>
        </w:rPr>
        <w:t>In re Centex Homes, LLC</w:t>
      </w:r>
      <w:r w:rsidRPr="00A228A5">
        <w:t xml:space="preserve">, 411 </w:t>
      </w:r>
      <w:r w:rsidRPr="003106A3">
        <w:rPr>
          <w:u w:val="single"/>
        </w:rPr>
        <w:t>N.J. Super.</w:t>
      </w:r>
      <w:r w:rsidRPr="00A228A5">
        <w:t xml:space="preserve"> </w:t>
      </w:r>
      <w:proofErr w:type="gramStart"/>
      <w:r w:rsidRPr="00A228A5">
        <w:t>244</w:t>
      </w:r>
      <w:proofErr w:type="gramEnd"/>
      <w:r>
        <w:t xml:space="preserve"> (App. Div. 2009).  Following the </w:t>
      </w:r>
      <w:r>
        <w:rPr>
          <w:u w:val="single"/>
        </w:rPr>
        <w:t>Centex</w:t>
      </w:r>
      <w:r>
        <w:t xml:space="preserve"> decision, the board promulgated new regulations that eliminated the provisions concerning smart growth areas.  The regulations require electric, gas, and telecommunications utilities to refund developers in an </w:t>
      </w:r>
      <w:r w:rsidRPr="002005CE">
        <w:t>amount equal to 10 times the annua</w:t>
      </w:r>
      <w:r>
        <w:t xml:space="preserve">l revenue derived by the </w:t>
      </w:r>
      <w:r w:rsidRPr="002005CE">
        <w:t>utility from</w:t>
      </w:r>
      <w:r>
        <w:t xml:space="preserve"> the extension.  However, the regulations only require water and </w:t>
      </w:r>
      <w:proofErr w:type="gramStart"/>
      <w:r>
        <w:t>waste water</w:t>
      </w:r>
      <w:proofErr w:type="gramEnd"/>
      <w:r>
        <w:t xml:space="preserve"> utilities to refund developers in an amount equal to two and one half</w:t>
      </w:r>
      <w:r w:rsidRPr="002005CE">
        <w:t xml:space="preserve"> times the annua</w:t>
      </w:r>
      <w:r>
        <w:t xml:space="preserve">l revenue derived by the utility.  The purpose of this bill is to restore parity among the utilities with regard to the amount of refund given to developers, thereby restoring the board’s previous regulatory practice prior to the </w:t>
      </w:r>
      <w:r>
        <w:rPr>
          <w:u w:val="single"/>
        </w:rPr>
        <w:t>Centex</w:t>
      </w:r>
      <w:r>
        <w:t xml:space="preserve"> decision and dating back to 2005.</w:t>
      </w:r>
    </w:p>
    <w:sectPr w:rsidR="00894602" w:rsidSect="0078349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D0F" w:rsidRDefault="00594D0F">
      <w:r>
        <w:separator/>
      </w:r>
    </w:p>
  </w:endnote>
  <w:endnote w:type="continuationSeparator" w:id="0">
    <w:p w:rsidR="00594D0F" w:rsidRDefault="0059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363" w:rsidRPr="00921C91" w:rsidRDefault="008453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5363" w:rsidRPr="00921C91" w:rsidRDefault="00845363">
    <w:pPr>
      <w:pStyle w:val="Footer"/>
      <w:rPr>
        <w:szCs w:val="18"/>
      </w:rPr>
    </w:pPr>
  </w:p>
  <w:p w:rsidR="00845363" w:rsidRPr="00921C91" w:rsidRDefault="008453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D0F" w:rsidRDefault="00594D0F">
      <w:r>
        <w:separator/>
      </w:r>
    </w:p>
  </w:footnote>
  <w:footnote w:type="continuationSeparator" w:id="0">
    <w:p w:rsidR="00594D0F" w:rsidRDefault="0059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59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349A" w:rsidRDefault="0078349A" w:rsidP="0078349A">
    <w:pPr>
      <w:pStyle w:val="bpuHeadSpon"/>
    </w:pPr>
    <w:r w:rsidRPr="0078349A">
      <w:rPr>
        <w:rStyle w:val="bpuHeadSponChar"/>
      </w:rPr>
      <w:t>A4096</w:t>
    </w:r>
    <w:r>
      <w:t xml:space="preserve"> DANCER</w:t>
    </w:r>
  </w:p>
  <w:p w:rsidR="0078349A" w:rsidRDefault="0078349A" w:rsidP="0078349A">
    <w:pPr>
      <w:pStyle w:val="bpuHeadSpon"/>
    </w:pPr>
    <w:r>
      <w:fldChar w:fldCharType="begin"/>
    </w:r>
    <w:r>
      <w:instrText xml:space="preserve"> PAGE  \* MERGEFORMAT </w:instrText>
    </w:r>
    <w:r>
      <w:fldChar w:fldCharType="separate"/>
    </w:r>
    <w:r w:rsidR="00A55904">
      <w:rPr>
        <w:noProof/>
      </w:rPr>
      <w:t>3</w:t>
    </w:r>
    <w:r>
      <w:fldChar w:fldCharType="end"/>
    </w:r>
  </w:p>
  <w:p w:rsidR="0078349A" w:rsidRDefault="0078349A" w:rsidP="007834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349A" w:rsidRDefault="0078349A" w:rsidP="0078349A">
    <w:pPr>
      <w:pStyle w:val="bpuHeadSpon"/>
    </w:pPr>
    <w:r w:rsidRPr="0078349A">
      <w:rPr>
        <w:rStyle w:val="bpuHeadSponChar"/>
      </w:rPr>
      <w:t>A4096</w:t>
    </w:r>
    <w:r>
      <w:t xml:space="preserve"> DANCER</w:t>
    </w:r>
  </w:p>
  <w:p w:rsidR="0078349A" w:rsidRDefault="0078349A" w:rsidP="0078349A">
    <w:pPr>
      <w:pStyle w:val="bpuHeadSpon"/>
    </w:pPr>
    <w:r>
      <w:fldChar w:fldCharType="begin"/>
    </w:r>
    <w:r>
      <w:instrText xml:space="preserve"> PAGE  \* MERGEFORMAT </w:instrText>
    </w:r>
    <w:r>
      <w:fldChar w:fldCharType="separate"/>
    </w:r>
    <w:r w:rsidR="00A55904">
      <w:rPr>
        <w:noProof/>
      </w:rPr>
      <w:t>2</w:t>
    </w:r>
    <w:r>
      <w:fldChar w:fldCharType="end"/>
    </w:r>
  </w:p>
  <w:p w:rsidR="0078349A" w:rsidRDefault="0078349A" w:rsidP="007834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D0F"/>
    <w:rsid w:val="000051BD"/>
    <w:rsid w:val="000160A5"/>
    <w:rsid w:val="0002335B"/>
    <w:rsid w:val="0003549A"/>
    <w:rsid w:val="000367AE"/>
    <w:rsid w:val="00043B22"/>
    <w:rsid w:val="00054975"/>
    <w:rsid w:val="00057D20"/>
    <w:rsid w:val="0006197C"/>
    <w:rsid w:val="0006281F"/>
    <w:rsid w:val="000671A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DDB"/>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FF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7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D0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49A"/>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363"/>
    <w:rsid w:val="00845F3C"/>
    <w:rsid w:val="008461B8"/>
    <w:rsid w:val="008462F1"/>
    <w:rsid w:val="00847EF1"/>
    <w:rsid w:val="008538FA"/>
    <w:rsid w:val="008573B0"/>
    <w:rsid w:val="00866563"/>
    <w:rsid w:val="00867AC2"/>
    <w:rsid w:val="0087056E"/>
    <w:rsid w:val="00875402"/>
    <w:rsid w:val="00884D51"/>
    <w:rsid w:val="008916EC"/>
    <w:rsid w:val="00891E4F"/>
    <w:rsid w:val="00894602"/>
    <w:rsid w:val="008A31C5"/>
    <w:rsid w:val="008A4F9A"/>
    <w:rsid w:val="008B2850"/>
    <w:rsid w:val="008C79B3"/>
    <w:rsid w:val="008D77BD"/>
    <w:rsid w:val="008E454C"/>
    <w:rsid w:val="008E7AD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90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77E"/>
    <w:rsid w:val="00BB1190"/>
    <w:rsid w:val="00BB31D0"/>
    <w:rsid w:val="00BB3A11"/>
    <w:rsid w:val="00BB4DDB"/>
    <w:rsid w:val="00BB5D79"/>
    <w:rsid w:val="00BB5F02"/>
    <w:rsid w:val="00BC7892"/>
    <w:rsid w:val="00BE24D6"/>
    <w:rsid w:val="00BE7EFA"/>
    <w:rsid w:val="00BF06AD"/>
    <w:rsid w:val="00BF2C67"/>
    <w:rsid w:val="00C0140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0973E8-E6C3-42C2-8BA9-616A2DEF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3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549</Words>
  <Characters>2928</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A4096</vt:lpstr>
    </vt:vector>
  </TitlesOfParts>
  <Manager>R229</Manager>
  <Company>NJ Office of Legislative Services</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A4096</dc:title>
  <dc:subject/>
  <dc:creator>Assemblyman  DANCER</dc:creator>
  <cp:keywords>A4096|3|AU |147|0|147|F|0|</cp:keywords>
  <dc:description>INTRODUCED MAY 7, 2020</dc:description>
  <cp:lastModifiedBy>Bell, Careema</cp:lastModifiedBy>
  <cp:revision>2</cp:revision>
  <cp:lastPrinted>2005-10-12T19:02:00Z</cp:lastPrinted>
  <dcterms:created xsi:type="dcterms:W3CDTF">2020-05-07T21:05:00Z</dcterms:created>
  <dcterms:modified xsi:type="dcterms:W3CDTF">2020-05-07T21:05:00Z</dcterms:modified>
  <cp:category>s.2: Eff. date &amp; Note to s.1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