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475FF" w:rsidP="00407C9E">
      <w:pPr>
        <w:pStyle w:val="NoteOrEstimate"/>
      </w:pPr>
      <w:r>
        <w:t>LEGISLATIVE FISCAL ESTIMATE</w:t>
      </w:r>
    </w:p>
    <w:p w:rsidR="00B475FF" w:rsidRPr="00B475FF" w:rsidRDefault="00B475FF" w:rsidP="00B475FF">
      <w:pPr>
        <w:pStyle w:val="Reprint"/>
      </w:pPr>
      <w:r>
        <w:t>[First Reprint]</w:t>
      </w:r>
    </w:p>
    <w:p w:rsidR="003C5892" w:rsidRDefault="00B475F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4143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1171F" w:rsidP="00F1171F">
      <w:pPr>
        <w:pStyle w:val="BillNo"/>
      </w:pPr>
      <w:r>
        <w:t>219th LEGISLATURE</w:t>
      </w:r>
    </w:p>
    <w:p w:rsidR="00353325" w:rsidRDefault="00353325" w:rsidP="00353325"/>
    <w:p w:rsidR="00F1171F" w:rsidRDefault="00F1171F" w:rsidP="00F1171F">
      <w:pPr>
        <w:jc w:val="center"/>
      </w:pPr>
      <w:r>
        <w:t>DATED: OCTOBER 30, 2020</w:t>
      </w:r>
    </w:p>
    <w:p w:rsidR="00F1171F" w:rsidRDefault="00F1171F" w:rsidP="00353325"/>
    <w:p w:rsidR="00F1171F" w:rsidRDefault="00F1171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B5F93" w:rsidTr="007842D9">
        <w:trPr>
          <w:trHeight w:val="576"/>
        </w:trPr>
        <w:tc>
          <w:tcPr>
            <w:tcW w:w="2333" w:type="dxa"/>
          </w:tcPr>
          <w:p w:rsidR="001B5F93" w:rsidRPr="003C5892" w:rsidRDefault="001B5F93" w:rsidP="007842D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B5F93" w:rsidRDefault="001B5F93" w:rsidP="007842D9">
            <w:r w:rsidRPr="00422494">
              <w:t>“New Jersey Health Care Transparency Act.”</w:t>
            </w:r>
          </w:p>
        </w:tc>
      </w:tr>
      <w:tr w:rsidR="001B5F93" w:rsidTr="007842D9">
        <w:trPr>
          <w:trHeight w:val="576"/>
        </w:trPr>
        <w:tc>
          <w:tcPr>
            <w:tcW w:w="2333" w:type="dxa"/>
          </w:tcPr>
          <w:p w:rsidR="001B5F93" w:rsidRPr="003C5892" w:rsidRDefault="001B5F93" w:rsidP="007842D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B5F93" w:rsidRDefault="001B5F93" w:rsidP="007842D9">
            <w:r w:rsidRPr="009C78FE">
              <w:t>Annual State revenue and expenditure increases.</w:t>
            </w:r>
          </w:p>
        </w:tc>
      </w:tr>
      <w:tr w:rsidR="001B5F93" w:rsidTr="007842D9">
        <w:trPr>
          <w:trHeight w:val="576"/>
        </w:trPr>
        <w:tc>
          <w:tcPr>
            <w:tcW w:w="2333" w:type="dxa"/>
          </w:tcPr>
          <w:p w:rsidR="001B5F93" w:rsidRPr="003C5892" w:rsidRDefault="001B5F93" w:rsidP="007842D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B5F93" w:rsidRDefault="001B5F93" w:rsidP="007842D9">
            <w:r>
              <w:t>Department of Law and Public Safety, Division of Consumer Affairs.</w:t>
            </w:r>
          </w:p>
        </w:tc>
      </w:tr>
    </w:tbl>
    <w:p w:rsidR="001B5F93" w:rsidRDefault="001B5F93" w:rsidP="001B5F9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880"/>
        <w:gridCol w:w="1490"/>
        <w:gridCol w:w="2495"/>
        <w:gridCol w:w="2495"/>
        <w:gridCol w:w="15"/>
      </w:tblGrid>
      <w:tr w:rsidR="001B5F93" w:rsidTr="007842D9">
        <w:trPr>
          <w:trHeight w:val="410"/>
        </w:trPr>
        <w:tc>
          <w:tcPr>
            <w:tcW w:w="9375" w:type="dxa"/>
            <w:gridSpan w:val="5"/>
            <w:tcBorders>
              <w:top w:val="nil"/>
              <w:left w:val="nil"/>
              <w:bottom w:val="nil"/>
              <w:right w:val="nil"/>
            </w:tcBorders>
            <w:vAlign w:val="bottom"/>
          </w:tcPr>
          <w:p w:rsidR="001B5F93" w:rsidRPr="00F11982" w:rsidRDefault="001B5F93" w:rsidP="007842D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5F93" w:rsidTr="007842D9">
        <w:trPr>
          <w:gridAfter w:val="1"/>
          <w:wAfter w:w="15" w:type="dxa"/>
          <w:trHeight w:val="410"/>
        </w:trPr>
        <w:tc>
          <w:tcPr>
            <w:tcW w:w="2880" w:type="dxa"/>
            <w:tcBorders>
              <w:top w:val="single" w:sz="6" w:space="0" w:color="auto"/>
              <w:left w:val="single" w:sz="6" w:space="0" w:color="auto"/>
              <w:bottom w:val="single" w:sz="12" w:space="0" w:color="auto"/>
              <w:right w:val="nil"/>
            </w:tcBorders>
            <w:shd w:val="pct20" w:color="auto" w:fill="auto"/>
            <w:vAlign w:val="bottom"/>
          </w:tcPr>
          <w:p w:rsidR="001B5F93" w:rsidRPr="00F11982" w:rsidRDefault="001B5F93" w:rsidP="007842D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490" w:type="dxa"/>
            <w:tcBorders>
              <w:top w:val="single" w:sz="6" w:space="0" w:color="auto"/>
              <w:left w:val="nil"/>
              <w:bottom w:val="single" w:sz="12" w:space="0" w:color="auto"/>
              <w:right w:val="nil"/>
            </w:tcBorders>
            <w:shd w:val="pct20" w:color="auto" w:fill="auto"/>
            <w:vAlign w:val="bottom"/>
          </w:tcPr>
          <w:p w:rsidR="001B5F93" w:rsidRPr="00F11982" w:rsidRDefault="001B5F93" w:rsidP="007842D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1B5F93" w:rsidRPr="00F11982" w:rsidRDefault="001B5F93" w:rsidP="007842D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1B5F93" w:rsidRPr="00F11982" w:rsidRDefault="001B5F93" w:rsidP="007842D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1B5F93" w:rsidTr="007842D9">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1B5F93" w:rsidRPr="00F11982" w:rsidRDefault="001B5F93" w:rsidP="007842D9">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480" w:type="dxa"/>
            <w:gridSpan w:val="3"/>
            <w:tcBorders>
              <w:top w:val="nil"/>
              <w:left w:val="nil"/>
              <w:bottom w:val="nil"/>
              <w:right w:val="single" w:sz="6" w:space="0" w:color="auto"/>
            </w:tcBorders>
            <w:tcMar>
              <w:bottom w:w="29" w:type="dxa"/>
            </w:tcMar>
            <w:vAlign w:val="bottom"/>
          </w:tcPr>
          <w:p w:rsidR="001B5F93" w:rsidRDefault="001B5F93" w:rsidP="007842D9">
            <w:pPr>
              <w:tabs>
                <w:tab w:val="left" w:pos="360"/>
                <w:tab w:val="left" w:pos="720"/>
                <w:tab w:val="left" w:pos="1440"/>
                <w:tab w:val="left" w:pos="2160"/>
                <w:tab w:val="left" w:pos="2880"/>
                <w:tab w:val="left" w:pos="3600"/>
                <w:tab w:val="left" w:pos="4320"/>
                <w:tab w:val="left" w:pos="5040"/>
              </w:tabs>
              <w:jc w:val="center"/>
            </w:pPr>
            <w:r>
              <w:t>Indeterminate</w:t>
            </w:r>
          </w:p>
        </w:tc>
      </w:tr>
      <w:tr w:rsidR="001B5F93" w:rsidTr="007842D9">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1B5F93" w:rsidRPr="00F11982" w:rsidRDefault="001B5F93" w:rsidP="007842D9">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480" w:type="dxa"/>
            <w:gridSpan w:val="3"/>
            <w:tcBorders>
              <w:top w:val="nil"/>
              <w:left w:val="nil"/>
              <w:bottom w:val="nil"/>
              <w:right w:val="single" w:sz="6" w:space="0" w:color="auto"/>
            </w:tcBorders>
            <w:tcMar>
              <w:bottom w:w="29" w:type="dxa"/>
            </w:tcMar>
            <w:vAlign w:val="bottom"/>
          </w:tcPr>
          <w:p w:rsidR="001B5F93" w:rsidRDefault="001B5F93" w:rsidP="007842D9">
            <w:pPr>
              <w:tabs>
                <w:tab w:val="left" w:pos="360"/>
                <w:tab w:val="left" w:pos="720"/>
                <w:tab w:val="left" w:pos="1440"/>
                <w:tab w:val="left" w:pos="2160"/>
                <w:tab w:val="left" w:pos="2880"/>
                <w:tab w:val="left" w:pos="3600"/>
                <w:tab w:val="left" w:pos="4320"/>
                <w:tab w:val="left" w:pos="5040"/>
              </w:tabs>
              <w:jc w:val="center"/>
            </w:pPr>
            <w:r>
              <w:t>Indeterminate</w:t>
            </w:r>
          </w:p>
        </w:tc>
      </w:tr>
      <w:tr w:rsidR="001B5F93" w:rsidTr="007842D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B5F93" w:rsidRDefault="001B5F93" w:rsidP="007842D9">
            <w:pPr>
              <w:tabs>
                <w:tab w:val="left" w:pos="360"/>
                <w:tab w:val="left" w:pos="720"/>
                <w:tab w:val="left" w:pos="1440"/>
                <w:tab w:val="left" w:pos="2160"/>
                <w:tab w:val="left" w:pos="2880"/>
                <w:tab w:val="left" w:pos="3600"/>
                <w:tab w:val="left" w:pos="4320"/>
                <w:tab w:val="left" w:pos="5040"/>
              </w:tabs>
            </w:pPr>
          </w:p>
        </w:tc>
      </w:tr>
    </w:tbl>
    <w:p w:rsidR="001B5F93" w:rsidRDefault="001B5F93" w:rsidP="001B5F93">
      <w:pPr>
        <w:tabs>
          <w:tab w:val="left" w:pos="360"/>
          <w:tab w:val="left" w:pos="720"/>
          <w:tab w:val="left" w:pos="1440"/>
          <w:tab w:val="left" w:pos="2160"/>
          <w:tab w:val="left" w:pos="2880"/>
          <w:tab w:val="left" w:pos="3600"/>
          <w:tab w:val="left" w:pos="4320"/>
          <w:tab w:val="left" w:pos="5040"/>
        </w:tabs>
      </w:pPr>
    </w:p>
    <w:p w:rsidR="001B5F93" w:rsidRDefault="001B5F93" w:rsidP="001B5F93">
      <w:pPr>
        <w:pStyle w:val="StyleBulletedSymbolsymbol"/>
      </w:pPr>
      <w:r w:rsidRPr="009C78FE">
        <w:t xml:space="preserve">The Office of Legislative Services (OLS) finds that the bill </w:t>
      </w:r>
      <w:r>
        <w:t>may</w:t>
      </w:r>
      <w:r w:rsidRPr="009C78FE">
        <w:t xml:space="preserve"> cause indeterminate increases in annual State revenues and expenditures.  The OLS, however, cannot assess the direction of the net effect of the two increases given the absence of information on the future cost of regulating </w:t>
      </w:r>
      <w:r>
        <w:t xml:space="preserve">licensed or certified </w:t>
      </w:r>
      <w:r w:rsidRPr="009C78FE">
        <w:t>health care professional</w:t>
      </w:r>
      <w:r>
        <w:t>s</w:t>
      </w:r>
      <w:r w:rsidRPr="009C78FE">
        <w:t xml:space="preserve"> and </w:t>
      </w:r>
      <w:r>
        <w:t xml:space="preserve">potential </w:t>
      </w:r>
      <w:r w:rsidRPr="009C78FE">
        <w:t>penalty collections.</w:t>
      </w:r>
    </w:p>
    <w:p w:rsidR="001B5F93" w:rsidRPr="009C78FE" w:rsidRDefault="001B5F93" w:rsidP="001B5F93">
      <w:pPr>
        <w:pStyle w:val="StyleBulletedSymbolsymbol"/>
      </w:pPr>
      <w:r>
        <w:t xml:space="preserve">The </w:t>
      </w:r>
      <w:r w:rsidRPr="00B917F3">
        <w:t xml:space="preserve">OLS anticipates that the State may annually collect indeterminate fine and penalty payments from violators of statutory and regulatory requirements applicable to the </w:t>
      </w:r>
      <w:r>
        <w:t>bill’s provisions</w:t>
      </w:r>
      <w:r w:rsidRPr="00B917F3">
        <w:t xml:space="preserve">.  </w:t>
      </w:r>
      <w:r w:rsidRPr="00A5544C">
        <w:t xml:space="preserve">Pursuant to </w:t>
      </w:r>
      <w:r>
        <w:t>current State law, a</w:t>
      </w:r>
      <w:r w:rsidRPr="00B917F3">
        <w:t xml:space="preserve"> violator may receive a civil penalty of $10,000 for an initial violation and $20,000 </w:t>
      </w:r>
      <w:r>
        <w:t>for any subsequent violations.</w:t>
      </w:r>
    </w:p>
    <w:p w:rsidR="001B5F93" w:rsidRDefault="001B5F93" w:rsidP="001B5F93"/>
    <w:p w:rsidR="001B5F93" w:rsidRPr="00255944" w:rsidRDefault="001B5F93" w:rsidP="001B5F9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B5F93" w:rsidRDefault="001B5F93" w:rsidP="001B5F93">
      <w:pPr>
        <w:tabs>
          <w:tab w:val="left" w:pos="360"/>
          <w:tab w:val="left" w:pos="720"/>
          <w:tab w:val="left" w:pos="1440"/>
          <w:tab w:val="left" w:pos="2160"/>
          <w:tab w:val="left" w:pos="2880"/>
          <w:tab w:val="left" w:pos="3600"/>
          <w:tab w:val="left" w:pos="4320"/>
          <w:tab w:val="left" w:pos="5040"/>
        </w:tabs>
      </w:pPr>
    </w:p>
    <w:p w:rsidR="001B5F93" w:rsidRDefault="001B5F93" w:rsidP="001B5F93">
      <w:pPr>
        <w:tabs>
          <w:tab w:val="left" w:pos="360"/>
          <w:tab w:val="left" w:pos="720"/>
          <w:tab w:val="left" w:pos="1440"/>
          <w:tab w:val="left" w:pos="2160"/>
          <w:tab w:val="left" w:pos="2880"/>
          <w:tab w:val="left" w:pos="3600"/>
          <w:tab w:val="left" w:pos="4320"/>
          <w:tab w:val="left" w:pos="5040"/>
        </w:tabs>
      </w:pPr>
      <w:r>
        <w:tab/>
        <w:t>This bill, which is designated as the “New Jersey Health Care Transparency Act,” requires any advertisement for a health care professional licensed or certified to practice under State law to include the type of professional license and professional degree the professional was issued. Advertisements are to exclude deceptive or misleading information relating to the health care professional, including, but not limited to, any affirmative communication or representation that misstates, falsely describes, holds out, or falsely details the professional’s skills, training, expertise, education, public or private board certification, or licensure.</w:t>
      </w:r>
    </w:p>
    <w:p w:rsidR="001B5F93" w:rsidRDefault="001B5F93" w:rsidP="001B5F93">
      <w:pPr>
        <w:tabs>
          <w:tab w:val="left" w:pos="360"/>
          <w:tab w:val="left" w:pos="720"/>
          <w:tab w:val="left" w:pos="1440"/>
          <w:tab w:val="left" w:pos="2160"/>
          <w:tab w:val="left" w:pos="2880"/>
          <w:tab w:val="left" w:pos="3600"/>
          <w:tab w:val="left" w:pos="4320"/>
          <w:tab w:val="left" w:pos="5040"/>
        </w:tabs>
      </w:pPr>
      <w:r>
        <w:lastRenderedPageBreak/>
        <w:tab/>
        <w:t>Under the bill, it is unlawful for a healthcare professional to fail to comply with certain provisions of this bill. Additionally, nothing in this bill limits a licensing board, principal department of the Executive Branch of State government, or any entity within any department or any other entity created to regulate a health care profession to adopt standards that are more stringent for licensees.</w:t>
      </w:r>
    </w:p>
    <w:p w:rsidR="001B5F93" w:rsidRDefault="001B5F93" w:rsidP="001B5F93">
      <w:pPr>
        <w:tabs>
          <w:tab w:val="left" w:pos="360"/>
          <w:tab w:val="left" w:pos="720"/>
          <w:tab w:val="left" w:pos="1440"/>
          <w:tab w:val="left" w:pos="2160"/>
          <w:tab w:val="left" w:pos="2880"/>
          <w:tab w:val="left" w:pos="3600"/>
          <w:tab w:val="left" w:pos="4320"/>
          <w:tab w:val="left" w:pos="5040"/>
        </w:tabs>
      </w:pPr>
    </w:p>
    <w:p w:rsidR="001B5F93" w:rsidRDefault="001B5F93" w:rsidP="001B5F93">
      <w:pPr>
        <w:tabs>
          <w:tab w:val="left" w:pos="360"/>
          <w:tab w:val="left" w:pos="720"/>
          <w:tab w:val="left" w:pos="1440"/>
          <w:tab w:val="left" w:pos="2160"/>
          <w:tab w:val="left" w:pos="2880"/>
          <w:tab w:val="left" w:pos="3600"/>
          <w:tab w:val="left" w:pos="4320"/>
          <w:tab w:val="left" w:pos="5040"/>
        </w:tabs>
      </w:pPr>
    </w:p>
    <w:p w:rsidR="001B5F93" w:rsidRDefault="001B5F93" w:rsidP="001B5F93">
      <w:pPr>
        <w:pStyle w:val="SectionHeading"/>
        <w:tabs>
          <w:tab w:val="left" w:pos="360"/>
          <w:tab w:val="left" w:pos="720"/>
          <w:tab w:val="left" w:pos="1440"/>
          <w:tab w:val="left" w:pos="2160"/>
          <w:tab w:val="left" w:pos="2880"/>
          <w:tab w:val="left" w:pos="3600"/>
          <w:tab w:val="left" w:pos="4320"/>
          <w:tab w:val="left" w:pos="5040"/>
        </w:tabs>
      </w:pPr>
      <w:r>
        <w:t>FISCAL ANALYSIS</w:t>
      </w:r>
    </w:p>
    <w:p w:rsidR="001B5F93" w:rsidRDefault="001B5F93" w:rsidP="001B5F93">
      <w:pPr>
        <w:tabs>
          <w:tab w:val="left" w:pos="360"/>
          <w:tab w:val="left" w:pos="720"/>
          <w:tab w:val="left" w:pos="1440"/>
          <w:tab w:val="left" w:pos="2160"/>
          <w:tab w:val="left" w:pos="2880"/>
          <w:tab w:val="left" w:pos="3600"/>
          <w:tab w:val="left" w:pos="4320"/>
          <w:tab w:val="left" w:pos="5040"/>
        </w:tabs>
      </w:pPr>
    </w:p>
    <w:p w:rsidR="001B5F93" w:rsidRDefault="001B5F93" w:rsidP="001B5F93">
      <w:pPr>
        <w:pStyle w:val="InterSectionHeading"/>
        <w:tabs>
          <w:tab w:val="left" w:pos="720"/>
          <w:tab w:val="left" w:pos="1440"/>
          <w:tab w:val="left" w:pos="2160"/>
          <w:tab w:val="left" w:pos="2880"/>
          <w:tab w:val="left" w:pos="3600"/>
          <w:tab w:val="left" w:pos="4320"/>
          <w:tab w:val="left" w:pos="5040"/>
        </w:tabs>
      </w:pPr>
      <w:r>
        <w:t>EXECUTIVE BRANCH</w:t>
      </w:r>
    </w:p>
    <w:p w:rsidR="001B5F93" w:rsidRDefault="001B5F93" w:rsidP="001B5F93">
      <w:pPr>
        <w:tabs>
          <w:tab w:val="left" w:pos="360"/>
          <w:tab w:val="left" w:pos="720"/>
          <w:tab w:val="left" w:pos="1440"/>
          <w:tab w:val="left" w:pos="2160"/>
          <w:tab w:val="left" w:pos="2880"/>
          <w:tab w:val="left" w:pos="3600"/>
          <w:tab w:val="left" w:pos="4320"/>
          <w:tab w:val="left" w:pos="5040"/>
        </w:tabs>
      </w:pPr>
    </w:p>
    <w:p w:rsidR="001B5F93" w:rsidRDefault="001B5F93" w:rsidP="001B5F93">
      <w:pPr>
        <w:tabs>
          <w:tab w:val="left" w:pos="360"/>
          <w:tab w:val="left" w:pos="720"/>
          <w:tab w:val="left" w:pos="1440"/>
          <w:tab w:val="left" w:pos="2160"/>
          <w:tab w:val="left" w:pos="2880"/>
          <w:tab w:val="left" w:pos="3600"/>
          <w:tab w:val="left" w:pos="4320"/>
          <w:tab w:val="left" w:pos="5040"/>
        </w:tabs>
      </w:pPr>
      <w:r>
        <w:tab/>
        <w:t>None received.</w:t>
      </w:r>
    </w:p>
    <w:p w:rsidR="001B5F93" w:rsidRDefault="001B5F93" w:rsidP="001B5F93">
      <w:pPr>
        <w:tabs>
          <w:tab w:val="left" w:pos="360"/>
          <w:tab w:val="left" w:pos="720"/>
          <w:tab w:val="left" w:pos="1440"/>
          <w:tab w:val="left" w:pos="2160"/>
          <w:tab w:val="left" w:pos="2880"/>
          <w:tab w:val="left" w:pos="3600"/>
          <w:tab w:val="left" w:pos="4320"/>
          <w:tab w:val="left" w:pos="5040"/>
        </w:tabs>
      </w:pPr>
    </w:p>
    <w:p w:rsidR="001B5F93" w:rsidRDefault="001B5F93" w:rsidP="001B5F93">
      <w:pPr>
        <w:pStyle w:val="InterSectionHeading"/>
        <w:tabs>
          <w:tab w:val="left" w:pos="720"/>
          <w:tab w:val="left" w:pos="1440"/>
          <w:tab w:val="left" w:pos="2160"/>
          <w:tab w:val="left" w:pos="2880"/>
          <w:tab w:val="left" w:pos="3600"/>
          <w:tab w:val="left" w:pos="4320"/>
          <w:tab w:val="left" w:pos="5040"/>
        </w:tabs>
      </w:pPr>
      <w:r>
        <w:t>OFFICE OF LEGISLATIVE SERVICES</w:t>
      </w:r>
    </w:p>
    <w:p w:rsidR="001B5F93" w:rsidRDefault="001B5F93" w:rsidP="001B5F93">
      <w:pPr>
        <w:tabs>
          <w:tab w:val="left" w:pos="360"/>
          <w:tab w:val="left" w:pos="720"/>
          <w:tab w:val="left" w:pos="1440"/>
          <w:tab w:val="left" w:pos="2160"/>
          <w:tab w:val="left" w:pos="2880"/>
          <w:tab w:val="left" w:pos="3600"/>
          <w:tab w:val="left" w:pos="4320"/>
          <w:tab w:val="left" w:pos="5040"/>
        </w:tabs>
      </w:pPr>
    </w:p>
    <w:p w:rsidR="001B5F93" w:rsidRDefault="001B5F93" w:rsidP="001B5F93">
      <w:pPr>
        <w:tabs>
          <w:tab w:val="left" w:pos="360"/>
          <w:tab w:val="left" w:pos="720"/>
          <w:tab w:val="left" w:pos="1440"/>
          <w:tab w:val="left" w:pos="2160"/>
          <w:tab w:val="left" w:pos="2880"/>
          <w:tab w:val="left" w:pos="3600"/>
          <w:tab w:val="left" w:pos="4320"/>
          <w:tab w:val="left" w:pos="5040"/>
        </w:tabs>
      </w:pPr>
      <w:r>
        <w:tab/>
      </w:r>
      <w:r w:rsidRPr="00DC3985">
        <w:t>The OLS finds that the bill may cause indeterminate increases in annual State revenues and expenditures.  The OLS, however, cannot assess the direction of the net effect of the two increases given the absence of information on the future cost of regulating licensed or certified health care professionals and potential penalty collections.</w:t>
      </w:r>
    </w:p>
    <w:p w:rsidR="001B5F93" w:rsidRDefault="001B5F93" w:rsidP="001B5F93">
      <w:pPr>
        <w:tabs>
          <w:tab w:val="left" w:pos="360"/>
          <w:tab w:val="left" w:pos="720"/>
          <w:tab w:val="left" w:pos="1440"/>
          <w:tab w:val="left" w:pos="2160"/>
          <w:tab w:val="left" w:pos="2880"/>
          <w:tab w:val="left" w:pos="3600"/>
          <w:tab w:val="left" w:pos="4320"/>
          <w:tab w:val="left" w:pos="5040"/>
        </w:tabs>
      </w:pPr>
      <w:r w:rsidRPr="00B917F3">
        <w:tab/>
      </w:r>
      <w:r w:rsidRPr="004E2B98">
        <w:t xml:space="preserve">The OLS anticipates that the State may collect indeterminate fine and penalty payments </w:t>
      </w:r>
      <w:r w:rsidR="00BC57C8">
        <w:t xml:space="preserve">annually </w:t>
      </w:r>
      <w:r w:rsidRPr="004E2B98">
        <w:t xml:space="preserve">from violators of statutory and regulatory requirements applicable to the bill’s provisions.  Pursuant to </w:t>
      </w:r>
      <w:r w:rsidR="00A61A96">
        <w:t>current State law</w:t>
      </w:r>
      <w:r w:rsidRPr="004E2B98">
        <w:t xml:space="preserve">, a violator may receive a civil penalty of $10,000 for an initial violation and $20,000 for any subsequent violations. </w:t>
      </w:r>
      <w:r>
        <w:t>In addition, in a</w:t>
      </w:r>
      <w:r w:rsidRPr="004E2B98">
        <w:t xml:space="preserve">ny action brought pursuant to this </w:t>
      </w:r>
      <w:r>
        <w:t>provision</w:t>
      </w:r>
      <w:r w:rsidRPr="004E2B98">
        <w:t>, a board or the court may order the payment of costs for the use of the State</w:t>
      </w:r>
      <w:r w:rsidR="000C1B40">
        <w:t xml:space="preserve"> resources</w:t>
      </w:r>
      <w:r w:rsidRPr="004E2B98">
        <w:t>, including, but not limited to, costs of investigation, expert witness fees and costs, attorney fees and costs, and transcript costs.</w:t>
      </w:r>
    </w:p>
    <w:p w:rsidR="001B5F93" w:rsidRDefault="001B5F93" w:rsidP="001B5F93">
      <w:pPr>
        <w:tabs>
          <w:tab w:val="left" w:pos="360"/>
          <w:tab w:val="left" w:pos="720"/>
          <w:tab w:val="left" w:pos="1440"/>
          <w:tab w:val="left" w:pos="2160"/>
          <w:tab w:val="left" w:pos="2880"/>
          <w:tab w:val="left" w:pos="3600"/>
          <w:tab w:val="left" w:pos="4320"/>
          <w:tab w:val="left" w:pos="5040"/>
        </w:tabs>
      </w:pPr>
      <w:r w:rsidRPr="004E2B98">
        <w:tab/>
        <w:t xml:space="preserve">It is unknown if </w:t>
      </w:r>
      <w:r>
        <w:t>the bill’s provisions will result in an</w:t>
      </w:r>
      <w:r w:rsidRPr="004E2B98">
        <w:t xml:space="preserve"> increased workload </w:t>
      </w:r>
      <w:r>
        <w:t>for</w:t>
      </w:r>
      <w:r w:rsidRPr="004E2B98">
        <w:t xml:space="preserve"> the Division of Consumer Affairs in the Department of Law a</w:t>
      </w:r>
      <w:r>
        <w:t>nd Public Safety, which</w:t>
      </w:r>
      <w:r w:rsidRPr="004E2B98">
        <w:t xml:space="preserve"> currently regulate</w:t>
      </w:r>
      <w:r>
        <w:t>s</w:t>
      </w:r>
      <w:r w:rsidRPr="004E2B98">
        <w:t xml:space="preserve"> and enforce</w:t>
      </w:r>
      <w:r>
        <w:t>s</w:t>
      </w:r>
      <w:r w:rsidRPr="004E2B98">
        <w:t xml:space="preserve"> these certifications and licenses.</w:t>
      </w:r>
      <w:r w:rsidR="00A61A96">
        <w:t xml:space="preserve"> </w:t>
      </w:r>
    </w:p>
    <w:p w:rsidR="001B5F93" w:rsidRDefault="001B5F93" w:rsidP="001B5F93">
      <w:pPr>
        <w:tabs>
          <w:tab w:val="left" w:pos="360"/>
          <w:tab w:val="left" w:pos="720"/>
          <w:tab w:val="left" w:pos="1440"/>
          <w:tab w:val="left" w:pos="2160"/>
          <w:tab w:val="left" w:pos="2880"/>
          <w:tab w:val="left" w:pos="3600"/>
          <w:tab w:val="left" w:pos="4320"/>
          <w:tab w:val="left" w:pos="5040"/>
        </w:tabs>
      </w:pPr>
    </w:p>
    <w:p w:rsidR="001B5F93" w:rsidRDefault="001B5F93" w:rsidP="001B5F93"/>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B5F93" w:rsidTr="007842D9">
        <w:trPr>
          <w:trHeight w:val="403"/>
        </w:trPr>
        <w:tc>
          <w:tcPr>
            <w:tcW w:w="1260" w:type="dxa"/>
            <w:tcBorders>
              <w:top w:val="nil"/>
              <w:left w:val="nil"/>
              <w:bottom w:val="nil"/>
              <w:right w:val="nil"/>
            </w:tcBorders>
          </w:tcPr>
          <w:p w:rsidR="001B5F93" w:rsidRDefault="001B5F93" w:rsidP="007842D9">
            <w:pPr>
              <w:pStyle w:val="10pointItalics"/>
              <w:rPr>
                <w:sz w:val="24"/>
              </w:rPr>
            </w:pPr>
            <w:r>
              <w:t>Section:</w:t>
            </w:r>
          </w:p>
        </w:tc>
        <w:tc>
          <w:tcPr>
            <w:tcW w:w="8100" w:type="dxa"/>
            <w:tcBorders>
              <w:top w:val="nil"/>
              <w:left w:val="nil"/>
              <w:bottom w:val="nil"/>
              <w:right w:val="nil"/>
            </w:tcBorders>
          </w:tcPr>
          <w:p w:rsidR="001B5F93" w:rsidRDefault="001B5F93" w:rsidP="007842D9">
            <w:pPr>
              <w:pStyle w:val="10pointItalics"/>
              <w:rPr>
                <w:sz w:val="24"/>
              </w:rPr>
            </w:pPr>
            <w:r>
              <w:t>Law and Public Safety</w:t>
            </w:r>
          </w:p>
        </w:tc>
      </w:tr>
      <w:tr w:rsidR="001B5F93" w:rsidTr="007842D9">
        <w:trPr>
          <w:trHeight w:val="403"/>
        </w:trPr>
        <w:tc>
          <w:tcPr>
            <w:tcW w:w="1260" w:type="dxa"/>
            <w:tcBorders>
              <w:top w:val="nil"/>
              <w:left w:val="nil"/>
              <w:bottom w:val="nil"/>
              <w:right w:val="nil"/>
            </w:tcBorders>
          </w:tcPr>
          <w:p w:rsidR="001B5F93" w:rsidRDefault="001B5F93" w:rsidP="007842D9">
            <w:pPr>
              <w:pStyle w:val="10pointItalics"/>
              <w:rPr>
                <w:sz w:val="24"/>
              </w:rPr>
            </w:pPr>
            <w:r>
              <w:t>Analyst:</w:t>
            </w:r>
          </w:p>
        </w:tc>
        <w:tc>
          <w:tcPr>
            <w:tcW w:w="8100" w:type="dxa"/>
            <w:tcBorders>
              <w:top w:val="nil"/>
              <w:left w:val="nil"/>
              <w:bottom w:val="nil"/>
              <w:right w:val="nil"/>
            </w:tcBorders>
          </w:tcPr>
          <w:p w:rsidR="001B5F93" w:rsidRDefault="001B5F93" w:rsidP="007842D9">
            <w:pPr>
              <w:pStyle w:val="10pointItalics"/>
            </w:pPr>
            <w:bookmarkStart w:id="2" w:name="UserFullName"/>
            <w:bookmarkEnd w:id="2"/>
            <w:r>
              <w:t>Kristin Brunner Santos</w:t>
            </w:r>
          </w:p>
          <w:p w:rsidR="001B5F93" w:rsidRDefault="001B5F93" w:rsidP="007842D9">
            <w:pPr>
              <w:pStyle w:val="10pointItalics"/>
              <w:rPr>
                <w:sz w:val="24"/>
              </w:rPr>
            </w:pPr>
            <w:r>
              <w:t>Senior Fiscal Analyst</w:t>
            </w:r>
          </w:p>
        </w:tc>
      </w:tr>
      <w:tr w:rsidR="001B5F93" w:rsidTr="007842D9">
        <w:trPr>
          <w:trHeight w:val="585"/>
        </w:trPr>
        <w:tc>
          <w:tcPr>
            <w:tcW w:w="1260" w:type="dxa"/>
            <w:tcBorders>
              <w:top w:val="nil"/>
              <w:left w:val="nil"/>
              <w:bottom w:val="nil"/>
              <w:right w:val="nil"/>
            </w:tcBorders>
            <w:tcMar>
              <w:top w:w="72" w:type="dxa"/>
            </w:tcMar>
          </w:tcPr>
          <w:p w:rsidR="001B5F93" w:rsidRDefault="001B5F93" w:rsidP="007842D9">
            <w:pPr>
              <w:pStyle w:val="10pointItalics"/>
              <w:rPr>
                <w:sz w:val="24"/>
              </w:rPr>
            </w:pPr>
            <w:r>
              <w:t>Approved:</w:t>
            </w:r>
          </w:p>
        </w:tc>
        <w:tc>
          <w:tcPr>
            <w:tcW w:w="8100" w:type="dxa"/>
            <w:tcBorders>
              <w:top w:val="nil"/>
              <w:left w:val="nil"/>
              <w:bottom w:val="nil"/>
              <w:right w:val="nil"/>
            </w:tcBorders>
            <w:tcMar>
              <w:top w:w="72" w:type="dxa"/>
            </w:tcMar>
          </w:tcPr>
          <w:p w:rsidR="001B5F93" w:rsidRDefault="001B5F93" w:rsidP="007842D9">
            <w:pPr>
              <w:pStyle w:val="10pointItalics"/>
            </w:pPr>
            <w:r>
              <w:t>Frank W. Haines III</w:t>
            </w:r>
          </w:p>
          <w:p w:rsidR="001B5F93" w:rsidRDefault="001B5F93" w:rsidP="007842D9">
            <w:pPr>
              <w:pStyle w:val="10pointItalics"/>
              <w:rPr>
                <w:sz w:val="24"/>
              </w:rPr>
            </w:pPr>
            <w:r>
              <w:t>Legislative Budget and Finance Officer</w:t>
            </w:r>
          </w:p>
        </w:tc>
      </w:tr>
    </w:tbl>
    <w:p w:rsidR="001B5F93" w:rsidRDefault="001B5F93" w:rsidP="001B5F93">
      <w:pPr>
        <w:spacing w:line="287" w:lineRule="atLeast"/>
      </w:pPr>
    </w:p>
    <w:p w:rsidR="00EF17BC" w:rsidRDefault="00EF17BC" w:rsidP="00EF17BC">
      <w:pPr>
        <w:spacing w:line="287" w:lineRule="atLeast"/>
      </w:pPr>
    </w:p>
    <w:p w:rsidR="00EF17BC" w:rsidRDefault="00B475F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475F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E7" w:rsidRDefault="007D54E7">
      <w:r>
        <w:separator/>
      </w:r>
    </w:p>
  </w:endnote>
  <w:endnote w:type="continuationSeparator" w:id="0">
    <w:p w:rsidR="007D54E7" w:rsidRDefault="007D5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B4842">
          <w:pPr>
            <w:pStyle w:val="Footer"/>
          </w:pPr>
          <w:r>
            <w:rPr>
              <w:noProof/>
              <w:sz w:val="20"/>
              <w:szCs w:val="20"/>
            </w:rPr>
            <w:object w:dxaOrig="1440" w:dyaOrig="1440" w14:anchorId="0AD87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5614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E7" w:rsidRDefault="007D54E7">
      <w:r>
        <w:separator/>
      </w:r>
    </w:p>
  </w:footnote>
  <w:footnote w:type="continuationSeparator" w:id="0">
    <w:p w:rsidR="007D54E7" w:rsidRDefault="007D5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5FF" w:rsidRDefault="00B475FF" w:rsidP="00B475FF">
    <w:pPr>
      <w:pStyle w:val="Header"/>
      <w:jc w:val="center"/>
    </w:pPr>
    <w:r>
      <w:t>FE to A4143 [1R]</w:t>
    </w:r>
  </w:p>
  <w:p w:rsidR="00B475FF" w:rsidRDefault="00B475FF" w:rsidP="00B475FF">
    <w:pPr>
      <w:pStyle w:val="Header"/>
      <w:jc w:val="center"/>
    </w:pPr>
    <w:r>
      <w:fldChar w:fldCharType="begin"/>
    </w:r>
    <w:r>
      <w:instrText xml:space="preserve"> PAGE  \* MERGEFORMAT </w:instrText>
    </w:r>
    <w:r>
      <w:fldChar w:fldCharType="separate"/>
    </w:r>
    <w:r w:rsidR="003B4842">
      <w:rPr>
        <w:noProof/>
      </w:rPr>
      <w:t>2</w:t>
    </w:r>
    <w:r>
      <w:fldChar w:fldCharType="end"/>
    </w:r>
  </w:p>
  <w:p w:rsidR="00B475FF" w:rsidRDefault="00B475FF" w:rsidP="00B475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5F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1B40"/>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5F93"/>
    <w:rsid w:val="001D0C90"/>
    <w:rsid w:val="001D3FD4"/>
    <w:rsid w:val="001F296E"/>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4842"/>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18AE"/>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3FD"/>
    <w:rsid w:val="00737A6C"/>
    <w:rsid w:val="00743F01"/>
    <w:rsid w:val="00744AE4"/>
    <w:rsid w:val="00763D60"/>
    <w:rsid w:val="007833B1"/>
    <w:rsid w:val="007920AC"/>
    <w:rsid w:val="007A0F7E"/>
    <w:rsid w:val="007A42C5"/>
    <w:rsid w:val="007A65A1"/>
    <w:rsid w:val="007B1FCF"/>
    <w:rsid w:val="007C4620"/>
    <w:rsid w:val="007D54E7"/>
    <w:rsid w:val="007E337B"/>
    <w:rsid w:val="007E5EB3"/>
    <w:rsid w:val="00804E41"/>
    <w:rsid w:val="00811BC0"/>
    <w:rsid w:val="008231E8"/>
    <w:rsid w:val="008266B7"/>
    <w:rsid w:val="00843666"/>
    <w:rsid w:val="00854B89"/>
    <w:rsid w:val="00855555"/>
    <w:rsid w:val="00881EF3"/>
    <w:rsid w:val="00883E7C"/>
    <w:rsid w:val="00886261"/>
    <w:rsid w:val="00894971"/>
    <w:rsid w:val="008C0341"/>
    <w:rsid w:val="008D5731"/>
    <w:rsid w:val="008E1349"/>
    <w:rsid w:val="00937A78"/>
    <w:rsid w:val="00947B1E"/>
    <w:rsid w:val="00953C08"/>
    <w:rsid w:val="00966D07"/>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1A96"/>
    <w:rsid w:val="00A63176"/>
    <w:rsid w:val="00A70D0C"/>
    <w:rsid w:val="00A94AB0"/>
    <w:rsid w:val="00A9794C"/>
    <w:rsid w:val="00AB0440"/>
    <w:rsid w:val="00AC3FC5"/>
    <w:rsid w:val="00AD340B"/>
    <w:rsid w:val="00AE3966"/>
    <w:rsid w:val="00AF11C6"/>
    <w:rsid w:val="00B002D1"/>
    <w:rsid w:val="00B057F1"/>
    <w:rsid w:val="00B143A9"/>
    <w:rsid w:val="00B4569E"/>
    <w:rsid w:val="00B45879"/>
    <w:rsid w:val="00B475FF"/>
    <w:rsid w:val="00B551EB"/>
    <w:rsid w:val="00B55F3D"/>
    <w:rsid w:val="00B57780"/>
    <w:rsid w:val="00B84AC8"/>
    <w:rsid w:val="00B90F8C"/>
    <w:rsid w:val="00B91C0B"/>
    <w:rsid w:val="00B97E24"/>
    <w:rsid w:val="00BA0BE6"/>
    <w:rsid w:val="00BA2122"/>
    <w:rsid w:val="00BA2F3A"/>
    <w:rsid w:val="00BC57C8"/>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1858"/>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55D1"/>
    <w:rsid w:val="00EE7D05"/>
    <w:rsid w:val="00EF17BC"/>
    <w:rsid w:val="00EF3B9C"/>
    <w:rsid w:val="00F04CAD"/>
    <w:rsid w:val="00F1171F"/>
    <w:rsid w:val="00F11982"/>
    <w:rsid w:val="00F2634D"/>
    <w:rsid w:val="00F332CE"/>
    <w:rsid w:val="00F35009"/>
    <w:rsid w:val="00F4083E"/>
    <w:rsid w:val="00F45BA7"/>
    <w:rsid w:val="00F51DD4"/>
    <w:rsid w:val="00F64D56"/>
    <w:rsid w:val="00F73621"/>
    <w:rsid w:val="00F82B11"/>
    <w:rsid w:val="00F873F0"/>
    <w:rsid w:val="00F96C63"/>
    <w:rsid w:val="00FA6D2B"/>
    <w:rsid w:val="00FB15DB"/>
    <w:rsid w:val="00FC7DA9"/>
    <w:rsid w:val="00FD2F99"/>
    <w:rsid w:val="00FE5C5C"/>
    <w:rsid w:val="00FE7697"/>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927481A-9EF8-4CAA-8AAC-4CE351AA3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D91858"/>
    <w:rPr>
      <w:sz w:val="16"/>
      <w:szCs w:val="16"/>
    </w:rPr>
  </w:style>
  <w:style w:type="paragraph" w:styleId="CommentText">
    <w:name w:val="annotation text"/>
    <w:basedOn w:val="Normal"/>
    <w:link w:val="CommentTextChar"/>
    <w:semiHidden/>
    <w:unhideWhenUsed/>
    <w:rsid w:val="00D91858"/>
    <w:pPr>
      <w:spacing w:line="240" w:lineRule="auto"/>
    </w:pPr>
    <w:rPr>
      <w:sz w:val="20"/>
      <w:szCs w:val="20"/>
    </w:rPr>
  </w:style>
  <w:style w:type="character" w:customStyle="1" w:styleId="CommentTextChar">
    <w:name w:val="Comment Text Char"/>
    <w:basedOn w:val="DefaultParagraphFont"/>
    <w:link w:val="CommentText"/>
    <w:semiHidden/>
    <w:rsid w:val="00D91858"/>
  </w:style>
  <w:style w:type="paragraph" w:styleId="CommentSubject">
    <w:name w:val="annotation subject"/>
    <w:basedOn w:val="CommentText"/>
    <w:next w:val="CommentText"/>
    <w:link w:val="CommentSubjectChar"/>
    <w:semiHidden/>
    <w:unhideWhenUsed/>
    <w:rsid w:val="00D91858"/>
    <w:rPr>
      <w:b/>
      <w:bCs/>
    </w:rPr>
  </w:style>
  <w:style w:type="character" w:customStyle="1" w:styleId="CommentSubjectChar">
    <w:name w:val="Comment Subject Char"/>
    <w:basedOn w:val="CommentTextChar"/>
    <w:link w:val="CommentSubject"/>
    <w:semiHidden/>
    <w:rsid w:val="00D91858"/>
    <w:rPr>
      <w:b/>
      <w:bCs/>
    </w:rPr>
  </w:style>
  <w:style w:type="paragraph" w:styleId="BalloonText">
    <w:name w:val="Balloon Text"/>
    <w:basedOn w:val="Normal"/>
    <w:link w:val="BalloonTextChar"/>
    <w:semiHidden/>
    <w:unhideWhenUsed/>
    <w:rsid w:val="00D918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18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590</Words>
  <Characters>3364</Characters>
  <Application>Microsoft Office Word</Application>
  <DocSecurity>0</DocSecurity>
  <Lines>93</Lines>
  <Paragraphs>44</Paragraphs>
  <ScaleCrop>false</ScaleCrop>
  <HeadingPairs>
    <vt:vector size="2" baseType="variant">
      <vt:variant>
        <vt:lpstr>Title</vt:lpstr>
      </vt:variant>
      <vt:variant>
        <vt:i4>1</vt:i4>
      </vt:variant>
    </vt:vector>
  </HeadingPairs>
  <TitlesOfParts>
    <vt:vector size="1" baseType="lpstr">
      <vt:lpstr>A4143 [1R]  FISCAL ESTIMATE</vt:lpstr>
    </vt:vector>
  </TitlesOfParts>
  <Manager>Kristin Brunner Santos;R211</Manager>
  <Company>Office of Legislative Services</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A4143 1R  FISCAL ESTIMATE</dc:title>
  <dc:creator>Assemblyman CONAWAY Assemblyman GIBLIN</dc:creator>
  <cp:keywords>A4143|2|LP |207|253|276|!||</cp:keywords>
  <dc:description>sent to sponsor 10/27 BPU 10/30</dc:description>
  <cp:lastModifiedBy>Sommers, Shelly</cp:lastModifiedBy>
  <cp:revision>2</cp:revision>
  <cp:lastPrinted>2020-10-30T14:56:00Z</cp:lastPrinted>
  <dcterms:created xsi:type="dcterms:W3CDTF">2020-10-30T15:10:00Z</dcterms:created>
  <dcterms:modified xsi:type="dcterms:W3CDTF">2020-10-30T15:10:00Z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