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C67F2D" w:rsidP="00407C9E">
      <w:pPr>
        <w:pStyle w:val="NoteOrEstimate"/>
      </w:pPr>
      <w:bookmarkStart w:id="0" w:name="_GoBack"/>
      <w:bookmarkEnd w:id="0"/>
      <w:r>
        <w:t>LEGISLATIVE FISCAL ESTIMATE</w:t>
      </w:r>
    </w:p>
    <w:p w:rsidR="00C67F2D" w:rsidRPr="00C67F2D" w:rsidRDefault="00894010" w:rsidP="00C67F2D">
      <w:pPr>
        <w:pStyle w:val="Reprint"/>
      </w:pPr>
      <w:r>
        <w:t>[Second</w:t>
      </w:r>
      <w:r w:rsidR="00C67F2D">
        <w:t xml:space="preserve"> Reprint]</w:t>
      </w:r>
    </w:p>
    <w:p w:rsidR="003C5892" w:rsidRDefault="00C67F2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4170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11B9A" w:rsidP="00411B9A">
      <w:pPr>
        <w:pStyle w:val="BillNo"/>
      </w:pPr>
      <w:r>
        <w:t>219th LEGISLATURE</w:t>
      </w:r>
    </w:p>
    <w:p w:rsidR="00353325" w:rsidRDefault="00353325" w:rsidP="00353325"/>
    <w:p w:rsidR="00411B9A" w:rsidRDefault="00411B9A" w:rsidP="00411B9A">
      <w:pPr>
        <w:jc w:val="center"/>
      </w:pPr>
      <w:r>
        <w:t>DATED: AUGUST 5, 2020</w:t>
      </w:r>
    </w:p>
    <w:p w:rsidR="00411B9A" w:rsidRDefault="00411B9A" w:rsidP="00353325"/>
    <w:p w:rsidR="00411B9A" w:rsidRDefault="00411B9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837A3" w:rsidP="00515AC5">
            <w:r w:rsidRPr="00F837A3">
              <w:t>Restricts use of certain data collected for purposes of contact tracing related to COVID-19 pandemic.</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231DC" w:rsidP="004A5BC3">
            <w:r>
              <w:t>State and Local Cost Increase, State Revenue Increase</w:t>
            </w:r>
            <w:r w:rsidR="004A5BC3">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231DC" w:rsidP="00515AC5">
            <w:r>
              <w:t>Department of Health, County and Local Health Departments</w:t>
            </w:r>
            <w:r w:rsidR="004A5BC3">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B353B8" w:rsidRDefault="00B353B8" w:rsidP="002D7863">
      <w:pPr>
        <w:tabs>
          <w:tab w:val="left" w:pos="360"/>
          <w:tab w:val="left" w:pos="720"/>
          <w:tab w:val="left" w:pos="1440"/>
          <w:tab w:val="left" w:pos="2160"/>
          <w:tab w:val="left" w:pos="2880"/>
          <w:tab w:val="left" w:pos="3600"/>
          <w:tab w:val="left" w:pos="4320"/>
          <w:tab w:val="left" w:pos="5040"/>
        </w:tabs>
      </w:pPr>
    </w:p>
    <w:p w:rsidR="003C5892" w:rsidRPr="00B353B8" w:rsidRDefault="00B353B8" w:rsidP="00B353B8">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Office of Legislative Services Estimate</w:t>
      </w:r>
    </w:p>
    <w:tbl>
      <w:tblPr>
        <w:tblW w:w="9260" w:type="dxa"/>
        <w:tblInd w:w="92" w:type="dxa"/>
        <w:tblBorders>
          <w:top w:val="single" w:sz="4" w:space="0" w:color="auto"/>
          <w:left w:val="single" w:sz="4" w:space="0" w:color="auto"/>
          <w:bottom w:val="single" w:sz="4" w:space="0" w:color="auto"/>
          <w:right w:val="single" w:sz="4" w:space="0" w:color="auto"/>
        </w:tblBorders>
        <w:tblLayout w:type="fixed"/>
        <w:tblCellMar>
          <w:left w:w="100" w:type="dxa"/>
          <w:right w:w="100" w:type="dxa"/>
        </w:tblCellMar>
        <w:tblLook w:val="0000" w:firstRow="0" w:lastRow="0" w:firstColumn="0" w:lastColumn="0" w:noHBand="0" w:noVBand="0"/>
      </w:tblPr>
      <w:tblGrid>
        <w:gridCol w:w="2603"/>
        <w:gridCol w:w="6657"/>
      </w:tblGrid>
      <w:tr w:rsidR="00B353B8" w:rsidTr="00DF6FAF">
        <w:trPr>
          <w:trHeight w:val="410"/>
        </w:trPr>
        <w:tc>
          <w:tcPr>
            <w:tcW w:w="2603" w:type="dxa"/>
            <w:shd w:val="pct20" w:color="auto" w:fill="auto"/>
            <w:vAlign w:val="bottom"/>
          </w:tcPr>
          <w:p w:rsidR="00B353B8" w:rsidRPr="00F11982" w:rsidRDefault="00B353B8"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657" w:type="dxa"/>
            <w:shd w:val="pct20" w:color="auto" w:fill="auto"/>
            <w:vAlign w:val="bottom"/>
          </w:tcPr>
          <w:p w:rsidR="00B353B8" w:rsidRPr="00F11982" w:rsidRDefault="00B353B8"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B353B8" w:rsidTr="00DF6FAF">
        <w:trPr>
          <w:trHeight w:val="410"/>
        </w:trPr>
        <w:tc>
          <w:tcPr>
            <w:tcW w:w="2603" w:type="dxa"/>
            <w:tcMar>
              <w:bottom w:w="29" w:type="dxa"/>
            </w:tcMar>
            <w:vAlign w:val="bottom"/>
          </w:tcPr>
          <w:p w:rsidR="00B353B8" w:rsidRPr="00F11982" w:rsidRDefault="00B353B8"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F6FAF">
              <w:rPr>
                <w:b/>
              </w:rPr>
              <w:t xml:space="preserve"> Increase</w:t>
            </w:r>
          </w:p>
        </w:tc>
        <w:tc>
          <w:tcPr>
            <w:tcW w:w="6657" w:type="dxa"/>
            <w:tcMar>
              <w:bottom w:w="29" w:type="dxa"/>
            </w:tcMar>
            <w:vAlign w:val="bottom"/>
          </w:tcPr>
          <w:p w:rsidR="00B353B8" w:rsidRDefault="00B353B8"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B353B8" w:rsidTr="00DF6FAF">
        <w:trPr>
          <w:trHeight w:val="410"/>
        </w:trPr>
        <w:tc>
          <w:tcPr>
            <w:tcW w:w="2603" w:type="dxa"/>
            <w:tcMar>
              <w:bottom w:w="29" w:type="dxa"/>
            </w:tcMar>
            <w:vAlign w:val="bottom"/>
          </w:tcPr>
          <w:p w:rsidR="00B353B8" w:rsidRPr="00F11982" w:rsidRDefault="00B353B8"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F6FAF">
              <w:rPr>
                <w:b/>
              </w:rPr>
              <w:t xml:space="preserve"> Increase </w:t>
            </w:r>
          </w:p>
        </w:tc>
        <w:tc>
          <w:tcPr>
            <w:tcW w:w="6657" w:type="dxa"/>
            <w:tcMar>
              <w:bottom w:w="29" w:type="dxa"/>
            </w:tcMar>
            <w:vAlign w:val="bottom"/>
          </w:tcPr>
          <w:p w:rsidR="00B353B8" w:rsidRDefault="00B353B8"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B353B8" w:rsidTr="00DF6FAF">
        <w:trPr>
          <w:trHeight w:val="410"/>
        </w:trPr>
        <w:tc>
          <w:tcPr>
            <w:tcW w:w="2603" w:type="dxa"/>
            <w:tcMar>
              <w:bottom w:w="29" w:type="dxa"/>
            </w:tcMar>
            <w:vAlign w:val="bottom"/>
          </w:tcPr>
          <w:p w:rsidR="00B353B8" w:rsidRPr="00F11982" w:rsidRDefault="00B353B8"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DF6FAF">
              <w:rPr>
                <w:b/>
              </w:rPr>
              <w:t xml:space="preserve"> Increase</w:t>
            </w:r>
          </w:p>
        </w:tc>
        <w:tc>
          <w:tcPr>
            <w:tcW w:w="6657" w:type="dxa"/>
            <w:tcMar>
              <w:bottom w:w="29" w:type="dxa"/>
            </w:tcMar>
            <w:vAlign w:val="bottom"/>
          </w:tcPr>
          <w:p w:rsidR="00B353B8" w:rsidRDefault="00B353B8" w:rsidP="002D7863">
            <w:pPr>
              <w:tabs>
                <w:tab w:val="left" w:pos="360"/>
                <w:tab w:val="left" w:pos="720"/>
                <w:tab w:val="left" w:pos="1440"/>
                <w:tab w:val="left" w:pos="2160"/>
                <w:tab w:val="left" w:pos="2880"/>
                <w:tab w:val="left" w:pos="3600"/>
                <w:tab w:val="left" w:pos="4320"/>
                <w:tab w:val="left" w:pos="5040"/>
              </w:tabs>
              <w:jc w:val="center"/>
            </w:pPr>
            <w:r>
              <w:t>Indeterminate</w:t>
            </w: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4231DC" w:rsidRDefault="004231DC" w:rsidP="00EE2F33">
      <w:pPr>
        <w:pStyle w:val="StyleBulletedSymbolsymbol"/>
        <w:tabs>
          <w:tab w:val="left" w:pos="360"/>
          <w:tab w:val="left" w:pos="720"/>
          <w:tab w:val="left" w:pos="1440"/>
          <w:tab w:val="left" w:pos="2160"/>
          <w:tab w:val="left" w:pos="2880"/>
          <w:tab w:val="left" w:pos="3600"/>
          <w:tab w:val="left" w:pos="4320"/>
          <w:tab w:val="left" w:pos="5040"/>
        </w:tabs>
      </w:pPr>
      <w:r>
        <w:t xml:space="preserve">The Office of Legislative Services </w:t>
      </w:r>
      <w:r w:rsidR="00DF6FAF">
        <w:t xml:space="preserve">(OLS) </w:t>
      </w:r>
      <w:r>
        <w:t>concludes that this bill</w:t>
      </w:r>
      <w:r w:rsidR="00B353B8">
        <w:t xml:space="preserve"> </w:t>
      </w:r>
      <w:r>
        <w:t xml:space="preserve">would increase State costs </w:t>
      </w:r>
      <w:r w:rsidR="00EE2F33">
        <w:t xml:space="preserve">for </w:t>
      </w:r>
      <w:r>
        <w:t xml:space="preserve">the </w:t>
      </w:r>
      <w:r w:rsidR="00DF6FAF">
        <w:t>Department</w:t>
      </w:r>
      <w:r>
        <w:t xml:space="preserve"> of Health </w:t>
      </w:r>
      <w:r w:rsidR="00DF6FAF">
        <w:t xml:space="preserve">(DOH) </w:t>
      </w:r>
      <w:r w:rsidR="00EE2F33">
        <w:t xml:space="preserve">to </w:t>
      </w:r>
      <w:r>
        <w:t xml:space="preserve">adopt regulations concerning the use of, and privacy protections for, individually identifiable and private health data collected </w:t>
      </w:r>
      <w:r w:rsidR="00EE2F33">
        <w:t xml:space="preserve">as part of </w:t>
      </w:r>
      <w:r>
        <w:t xml:space="preserve">public health contact tracing for the novel coronavirus 2019 (COVID-19).  However, these costs </w:t>
      </w:r>
      <w:r w:rsidR="00EE2F33">
        <w:t xml:space="preserve">would likely </w:t>
      </w:r>
      <w:r>
        <w:t>be minimized</w:t>
      </w:r>
      <w:r w:rsidR="00EE2F33">
        <w:t>,</w:t>
      </w:r>
      <w:r>
        <w:t xml:space="preserve"> to the extent that the DOH can modify </w:t>
      </w:r>
      <w:r w:rsidR="00EE2F33">
        <w:t xml:space="preserve">and adopt </w:t>
      </w:r>
      <w:r>
        <w:t>existing S</w:t>
      </w:r>
      <w:r w:rsidR="00EE2F33">
        <w:t>tate regu</w:t>
      </w:r>
      <w:r>
        <w:t>l</w:t>
      </w:r>
      <w:r w:rsidR="00EE2F33">
        <w:t>a</w:t>
      </w:r>
      <w:r>
        <w:t>tions concerning contact tracing for other communicable diseases.</w:t>
      </w:r>
    </w:p>
    <w:p w:rsidR="00EE2F33" w:rsidRDefault="00EE2F33" w:rsidP="007E5EB3">
      <w:pPr>
        <w:pStyle w:val="StyleBulletedSymbolsymbol"/>
        <w:tabs>
          <w:tab w:val="left" w:pos="360"/>
          <w:tab w:val="left" w:pos="720"/>
          <w:tab w:val="left" w:pos="1440"/>
          <w:tab w:val="left" w:pos="2160"/>
          <w:tab w:val="left" w:pos="2880"/>
          <w:tab w:val="left" w:pos="3600"/>
          <w:tab w:val="left" w:pos="4320"/>
          <w:tab w:val="left" w:pos="5040"/>
        </w:tabs>
      </w:pPr>
      <w:r>
        <w:t xml:space="preserve">Additional costs would </w:t>
      </w:r>
      <w:r w:rsidR="00CF744B">
        <w:t xml:space="preserve">likely </w:t>
      </w:r>
      <w:r>
        <w:t>result from a provision requiring the DOH and county and local health departments to either de-identify or delete, within 90 days of acquisition, any individually identifiable or private health data collected as part of the department’s own COVID-19 contact tracing activities.  The bill also directs the DOH and other public health departments to ensure that third-party entities contracted to conduct COVID-19 contact tracing also delete or de-identify, within 90 days of acquisition, all individually identifiable or private health data gathered as part of these contracted activities.</w:t>
      </w:r>
    </w:p>
    <w:p w:rsidR="00EE2F33" w:rsidRDefault="00EE2F33" w:rsidP="00EE2F33">
      <w:pPr>
        <w:pStyle w:val="StyleBulletedSymbolsymbol"/>
      </w:pPr>
      <w:r>
        <w:t xml:space="preserve">State revenues may potentially increase as a result of a provision that imposes a $10,000 penalty on any third-party entity that misuses or unlawfully discloses individually identifiable or private health data collected or shared as part of the entity’s contact tracing contract, or that fails to delete or de-identify these data within 90 days of acquisition.  Any penalties collected pursuant to the bill would be collected in the name of the Commissioner of Health.  However, absent information on the number of </w:t>
      </w:r>
      <w:r w:rsidR="00EB00BD">
        <w:t xml:space="preserve">infractions for which the DOH might impose a penalty, the OLS cannot estimate the magnitude of the </w:t>
      </w:r>
      <w:r>
        <w:t xml:space="preserve">revenue </w:t>
      </w:r>
      <w:r w:rsidR="00EB00BD">
        <w:t xml:space="preserve">increase associated with </w:t>
      </w:r>
      <w:r>
        <w:t>this provision.</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353B8" w:rsidRDefault="006548C5" w:rsidP="00B353B8">
      <w:pPr>
        <w:tabs>
          <w:tab w:val="left" w:pos="360"/>
          <w:tab w:val="left" w:pos="720"/>
          <w:tab w:val="left" w:pos="1440"/>
          <w:tab w:val="left" w:pos="2160"/>
          <w:tab w:val="left" w:pos="2880"/>
          <w:tab w:val="left" w:pos="3600"/>
          <w:tab w:val="left" w:pos="4320"/>
          <w:tab w:val="left" w:pos="5040"/>
        </w:tabs>
      </w:pPr>
      <w:r>
        <w:tab/>
        <w:t>This bill</w:t>
      </w:r>
      <w:r w:rsidR="00B353B8">
        <w:t xml:space="preserve"> </w:t>
      </w:r>
      <w:r>
        <w:t xml:space="preserve">provides that a public health entity performing contact tracing related to </w:t>
      </w:r>
      <w:r w:rsidR="00DF6FAF">
        <w:t>COVID-19</w:t>
      </w:r>
      <w:r>
        <w:t xml:space="preserve">, including the </w:t>
      </w:r>
      <w:r w:rsidR="00DF6FAF">
        <w:t>DOH</w:t>
      </w:r>
      <w:r>
        <w:t xml:space="preserve"> and any county or local board of health, as well as any third party entity contracted by the public health entity to conduct contact tracing on behalf of the public health entity, may only use data </w:t>
      </w:r>
      <w:r w:rsidR="00B43CBA">
        <w:t xml:space="preserve">gathered through these activities </w:t>
      </w:r>
      <w:r>
        <w:t>for the purposes of completing contact tracing and for certain authorized research purposes.</w:t>
      </w:r>
    </w:p>
    <w:p w:rsidR="006548C5" w:rsidRPr="00B353B8" w:rsidRDefault="00B353B8" w:rsidP="00B353B8">
      <w:pPr>
        <w:tabs>
          <w:tab w:val="left" w:pos="360"/>
          <w:tab w:val="left" w:pos="720"/>
          <w:tab w:val="left" w:pos="1440"/>
          <w:tab w:val="left" w:pos="2160"/>
          <w:tab w:val="left" w:pos="2880"/>
          <w:tab w:val="left" w:pos="3600"/>
          <w:tab w:val="left" w:pos="4320"/>
          <w:tab w:val="left" w:pos="5040"/>
        </w:tabs>
      </w:pPr>
      <w:r>
        <w:rPr>
          <w:szCs w:val="20"/>
        </w:rPr>
        <w:tab/>
        <w:t>T</w:t>
      </w:r>
      <w:r w:rsidR="006548C5" w:rsidRPr="006548C5">
        <w:rPr>
          <w:szCs w:val="20"/>
        </w:rPr>
        <w:t xml:space="preserve">he bill requires public health entities and contracted third parties to ensure that health and location data </w:t>
      </w:r>
      <w:r w:rsidR="006548C5">
        <w:rPr>
          <w:szCs w:val="20"/>
        </w:rPr>
        <w:t>collected for contact tracing are</w:t>
      </w:r>
      <w:r w:rsidR="006548C5" w:rsidRPr="006548C5">
        <w:rPr>
          <w:szCs w:val="20"/>
        </w:rPr>
        <w:t xml:space="preserve"> de-identified or deleted from the entity’s records no later than 90 </w:t>
      </w:r>
      <w:r w:rsidR="006548C5">
        <w:rPr>
          <w:szCs w:val="20"/>
        </w:rPr>
        <w:t>days after the date the data are</w:t>
      </w:r>
      <w:r w:rsidR="006548C5" w:rsidRPr="006548C5">
        <w:rPr>
          <w:szCs w:val="20"/>
        </w:rPr>
        <w:t xml:space="preserve"> received by the entity.  If the public health entity contracts </w:t>
      </w:r>
      <w:r w:rsidR="00B43CBA">
        <w:rPr>
          <w:szCs w:val="20"/>
        </w:rPr>
        <w:t>with a third-</w:t>
      </w:r>
      <w:r w:rsidR="006548C5" w:rsidRPr="006548C5">
        <w:rPr>
          <w:szCs w:val="20"/>
        </w:rPr>
        <w:t>party entity to perform contact tracing on the entity’s behalf, the public health entity will be requir</w:t>
      </w:r>
      <w:r w:rsidR="00B43CBA">
        <w:rPr>
          <w:szCs w:val="20"/>
        </w:rPr>
        <w:t>ed to publish the name of third-</w:t>
      </w:r>
      <w:r w:rsidR="006548C5" w:rsidRPr="006548C5">
        <w:rPr>
          <w:szCs w:val="20"/>
        </w:rPr>
        <w:t>party entity on the public health entity’s Internet website or on the Internet web</w:t>
      </w:r>
      <w:r w:rsidR="006548C5">
        <w:rPr>
          <w:szCs w:val="20"/>
        </w:rPr>
        <w:t>site of the DOH</w:t>
      </w:r>
      <w:r w:rsidR="0015452E">
        <w:rPr>
          <w:szCs w:val="20"/>
        </w:rPr>
        <w:t xml:space="preserve"> and require that the third </w:t>
      </w:r>
      <w:r w:rsidR="006548C5" w:rsidRPr="006548C5">
        <w:rPr>
          <w:szCs w:val="20"/>
        </w:rPr>
        <w:t>party only use contact tracing data for contact tracing or authorized research</w:t>
      </w:r>
      <w:r w:rsidR="0015452E">
        <w:rPr>
          <w:szCs w:val="20"/>
        </w:rPr>
        <w:t xml:space="preserve">.  </w:t>
      </w:r>
      <w:r>
        <w:rPr>
          <w:szCs w:val="20"/>
        </w:rPr>
        <w:t>T</w:t>
      </w:r>
      <w:r w:rsidR="006548C5" w:rsidRPr="006548C5">
        <w:rPr>
          <w:szCs w:val="20"/>
        </w:rPr>
        <w:t>he Commissioner of Health is to require that systems using health and location data for contact tracing automatically de-identify or delete any individually identifiable or private health data no later than 90 days after the data is entered into the system.</w:t>
      </w:r>
    </w:p>
    <w:p w:rsidR="006548C5" w:rsidRPr="006548C5" w:rsidRDefault="00B353B8" w:rsidP="006548C5">
      <w:pPr>
        <w:tabs>
          <w:tab w:val="left" w:pos="360"/>
          <w:tab w:val="left" w:pos="720"/>
          <w:tab w:val="left" w:pos="1080"/>
          <w:tab w:val="left" w:pos="1440"/>
          <w:tab w:val="left" w:pos="2160"/>
          <w:tab w:val="left" w:pos="2880"/>
          <w:tab w:val="left" w:pos="3600"/>
        </w:tabs>
        <w:rPr>
          <w:szCs w:val="20"/>
        </w:rPr>
      </w:pPr>
      <w:r>
        <w:rPr>
          <w:szCs w:val="20"/>
        </w:rPr>
        <w:tab/>
        <w:t>T</w:t>
      </w:r>
      <w:r w:rsidR="006548C5" w:rsidRPr="006548C5">
        <w:rPr>
          <w:szCs w:val="20"/>
        </w:rPr>
        <w:t>he bill defines de-identified health data to mean information that cannot be linked to an individual without additional information that is kept separately, or information that has been modified to a degree that the risk of re-identification is small.  Individually identifiable data is defined as information that can be linked to an individual without the need for additional information, or information that can be linked to an individual using other information that is readily available to or accessible by the public.</w:t>
      </w:r>
      <w:r>
        <w:rPr>
          <w:szCs w:val="20"/>
        </w:rPr>
        <w:t xml:space="preserve">  T</w:t>
      </w:r>
      <w:r w:rsidR="006548C5" w:rsidRPr="006548C5">
        <w:rPr>
          <w:szCs w:val="20"/>
        </w:rPr>
        <w:t xml:space="preserve">he bill expressly authorizes de-identified contact tracing data to be used by public health entities and other appropriate entities for research purposes or for other purposes related to </w:t>
      </w:r>
      <w:r>
        <w:rPr>
          <w:szCs w:val="20"/>
        </w:rPr>
        <w:t>the State’s COVID-19 response.</w:t>
      </w:r>
    </w:p>
    <w:p w:rsidR="006548C5" w:rsidRPr="006548C5" w:rsidRDefault="006548C5" w:rsidP="006548C5">
      <w:pPr>
        <w:tabs>
          <w:tab w:val="left" w:pos="360"/>
          <w:tab w:val="left" w:pos="720"/>
          <w:tab w:val="left" w:pos="1080"/>
          <w:tab w:val="left" w:pos="1440"/>
          <w:tab w:val="left" w:pos="2160"/>
          <w:tab w:val="left" w:pos="2880"/>
          <w:tab w:val="left" w:pos="3600"/>
        </w:tabs>
        <w:rPr>
          <w:szCs w:val="20"/>
        </w:rPr>
      </w:pPr>
      <w:r w:rsidRPr="006548C5">
        <w:rPr>
          <w:szCs w:val="20"/>
        </w:rPr>
        <w:tab/>
        <w:t>Any entity in possession of de-identified contact tracing data will be required to attest to the Commissioner of Health that the entity will not attempt to re-identify the data.</w:t>
      </w:r>
      <w:r w:rsidR="00B353B8">
        <w:rPr>
          <w:szCs w:val="20"/>
        </w:rPr>
        <w:t xml:space="preserve">  </w:t>
      </w:r>
      <w:r w:rsidR="0015452E">
        <w:rPr>
          <w:szCs w:val="20"/>
        </w:rPr>
        <w:t>A third-</w:t>
      </w:r>
      <w:r w:rsidRPr="006548C5">
        <w:rPr>
          <w:szCs w:val="20"/>
        </w:rPr>
        <w:t>party entity that misuses or unlawfully discloses individually identifiable or private health data collected for contact tracing, or that retains the data beyond the date on which the data is required to be de-identified or deleted, will be liable to a civil penalty of up to $10,000, which will be collected by and in the name of the Commissioner of Health in a summary proceeding before a court of competent jurisdiction.</w:t>
      </w:r>
    </w:p>
    <w:p w:rsidR="006548C5" w:rsidRPr="006548C5" w:rsidRDefault="006548C5" w:rsidP="006548C5">
      <w:pPr>
        <w:tabs>
          <w:tab w:val="left" w:pos="360"/>
          <w:tab w:val="left" w:pos="720"/>
          <w:tab w:val="left" w:pos="1080"/>
          <w:tab w:val="left" w:pos="1440"/>
          <w:tab w:val="left" w:pos="2160"/>
          <w:tab w:val="left" w:pos="2880"/>
          <w:tab w:val="left" w:pos="3600"/>
        </w:tabs>
        <w:rPr>
          <w:szCs w:val="20"/>
        </w:rPr>
      </w:pPr>
      <w:r w:rsidRPr="006548C5">
        <w:rPr>
          <w:szCs w:val="20"/>
        </w:rPr>
        <w:tab/>
      </w:r>
      <w:r w:rsidR="00B353B8">
        <w:rPr>
          <w:szCs w:val="20"/>
        </w:rPr>
        <w:t>T</w:t>
      </w:r>
      <w:r w:rsidRPr="006548C5">
        <w:rPr>
          <w:szCs w:val="20"/>
        </w:rPr>
        <w:t xml:space="preserve">he bill requires the Commissioner of Health </w:t>
      </w:r>
      <w:r w:rsidR="00C16EE2">
        <w:rPr>
          <w:szCs w:val="20"/>
        </w:rPr>
        <w:t xml:space="preserve">to </w:t>
      </w:r>
      <w:r w:rsidRPr="006548C5">
        <w:rPr>
          <w:szCs w:val="20"/>
        </w:rPr>
        <w:t>adopt rules and regulations concerning how p</w:t>
      </w:r>
      <w:r w:rsidR="00C16EE2">
        <w:rPr>
          <w:szCs w:val="20"/>
        </w:rPr>
        <w:t>ublic health entities and third-</w:t>
      </w:r>
      <w:r w:rsidRPr="006548C5">
        <w:rPr>
          <w:szCs w:val="20"/>
        </w:rPr>
        <w:t>party entities may use data collected for contact tracing related to the COVID-19 pandemic, and how those entities will be required to ensure the security and confidentiality of that data</w:t>
      </w:r>
      <w:r w:rsidR="00B353B8">
        <w:rPr>
          <w:szCs w:val="20"/>
        </w:rPr>
        <w:t>.</w:t>
      </w:r>
    </w:p>
    <w:p w:rsidR="006548C5" w:rsidRDefault="006548C5" w:rsidP="002D7863">
      <w:pPr>
        <w:tabs>
          <w:tab w:val="left" w:pos="360"/>
          <w:tab w:val="left" w:pos="720"/>
          <w:tab w:val="left" w:pos="1440"/>
          <w:tab w:val="left" w:pos="2160"/>
          <w:tab w:val="left" w:pos="2880"/>
          <w:tab w:val="left" w:pos="3600"/>
          <w:tab w:val="left" w:pos="4320"/>
          <w:tab w:val="left" w:pos="5040"/>
        </w:tabs>
      </w:pPr>
    </w:p>
    <w:p w:rsidR="004A5BC3" w:rsidRDefault="004A5BC3"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16EE2">
        <w:t>None received.</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16EE2" w:rsidRDefault="00C16EE2" w:rsidP="00C16EE2">
      <w:pPr>
        <w:ind w:firstLine="720"/>
      </w:pPr>
      <w:r>
        <w:t xml:space="preserve">The </w:t>
      </w:r>
      <w:r w:rsidR="00B93AE8">
        <w:t>OLS</w:t>
      </w:r>
      <w:r>
        <w:t xml:space="preserve"> finds that the provi</w:t>
      </w:r>
      <w:r w:rsidR="00B353B8">
        <w:t xml:space="preserve">sions of this bill </w:t>
      </w:r>
      <w:r>
        <w:t>would increase State costs for the Commissioner of Health to adopt regulations concerning the use of, and privacy protections for, individually identifiable and private health data collected pursuant to public health contact tracing for COVID-19</w:t>
      </w:r>
      <w:r w:rsidR="00CF744B">
        <w:t>.  However, State costs would likely</w:t>
      </w:r>
      <w:r>
        <w:t xml:space="preserve"> be mi</w:t>
      </w:r>
      <w:r w:rsidR="00B93AE8">
        <w:t>nimized</w:t>
      </w:r>
      <w:r>
        <w:t xml:space="preserve"> to the extent that the </w:t>
      </w:r>
      <w:r w:rsidR="00CF744B">
        <w:t xml:space="preserve">DOH </w:t>
      </w:r>
      <w:r>
        <w:t>can modify existing State regulations concerning contact tracing for individuals diagnosed with other communicable diseases, such as tuberculosis and the human immunodeficiency virus (HIV).</w:t>
      </w:r>
    </w:p>
    <w:p w:rsidR="00C16EE2" w:rsidRDefault="00C16EE2" w:rsidP="00C16EE2">
      <w:pPr>
        <w:ind w:firstLine="720"/>
      </w:pPr>
      <w:r>
        <w:t xml:space="preserve">The DOH, as well as county and local public health departments, may also realize minimal </w:t>
      </w:r>
      <w:r w:rsidR="00CF744B">
        <w:t>cost increases</w:t>
      </w:r>
      <w:r>
        <w:t xml:space="preserve"> associated with publicly</w:t>
      </w:r>
      <w:r w:rsidR="00CF744B">
        <w:t xml:space="preserve"> publishing, on the</w:t>
      </w:r>
      <w:r>
        <w:t xml:space="preserve"> </w:t>
      </w:r>
      <w:r w:rsidR="00CF744B">
        <w:t xml:space="preserve">departments’ Internet </w:t>
      </w:r>
      <w:r>
        <w:t>website</w:t>
      </w:r>
      <w:r w:rsidR="00CF744B">
        <w:t>s</w:t>
      </w:r>
      <w:r>
        <w:t>, the name of any third-party entities with which the DOH, or other county or local health departments, shared individually identifiable or private health data as part of a contract for COVID-19 contact tracing services.  Additional, albeit marginal, costs would result from the bill’s requirement that the DOH and other public health departments either de-identify or delete, within 90 days of acquisition, any individually identifiable or private health data collected as part of the</w:t>
      </w:r>
      <w:r w:rsidR="00CF744B">
        <w:t xml:space="preserve"> department</w:t>
      </w:r>
      <w:r>
        <w:t>s</w:t>
      </w:r>
      <w:r w:rsidR="00CF744B">
        <w:t>’</w:t>
      </w:r>
      <w:r>
        <w:t xml:space="preserve"> own COVID-19 contact tracing activities.  The bill also directs the DOH and county and local health </w:t>
      </w:r>
      <w:r w:rsidR="00CF744B">
        <w:t xml:space="preserve">departments </w:t>
      </w:r>
      <w:r>
        <w:t xml:space="preserve">to ensure that third-party entities contracted to conduct COVID-19 contact tracing also delete or de-identify, within 90 days of acquisition, all individually identifiable or private health data gathered as part of these contracted activities.  </w:t>
      </w:r>
    </w:p>
    <w:p w:rsidR="00255944" w:rsidRDefault="00C16EE2" w:rsidP="00C16EE2">
      <w:pPr>
        <w:tabs>
          <w:tab w:val="left" w:pos="360"/>
          <w:tab w:val="left" w:pos="720"/>
          <w:tab w:val="left" w:pos="1440"/>
          <w:tab w:val="left" w:pos="2160"/>
          <w:tab w:val="left" w:pos="2880"/>
          <w:tab w:val="left" w:pos="3600"/>
          <w:tab w:val="left" w:pos="4320"/>
          <w:tab w:val="left" w:pos="5040"/>
        </w:tabs>
      </w:pPr>
      <w:r>
        <w:tab/>
      </w:r>
      <w:r w:rsidR="00CF744B">
        <w:t>State revenues may</w:t>
      </w:r>
      <w:r>
        <w:t xml:space="preserve"> potentially increase as a result of a provision that imposes a $10,000 penalty on any third-party entity that misuses or unlawfully discloses individually identifiable or private health data collected or shared as part of the entity’s contact tracing contract.  This penalty would also be levied if the third-party entity does not delete or de-identify individually identifiable or private health data within 90 days of acquisition.  Any penalties collected pursuant to the bill would be collected in the name of the Commissioner of Health.  However, absent information on </w:t>
      </w:r>
      <w:r w:rsidR="00CF744B">
        <w:t>the number of infractions for which the DOH might impose a penalty, the OLS cannot estimate the magnitude of the revenue increase associated with this provision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93AE8"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C51795" w:rsidRDefault="00C51795" w:rsidP="00C51795">
            <w:pPr>
              <w:pStyle w:val="10pointItalics"/>
            </w:pPr>
            <w:bookmarkStart w:id="2" w:name="UserFullName"/>
            <w:bookmarkEnd w:id="2"/>
            <w:r>
              <w:t>Anne Cappabianca</w:t>
            </w:r>
          </w:p>
          <w:p w:rsidR="00EF17BC" w:rsidRPr="00C51795" w:rsidRDefault="00C51795" w:rsidP="00C51795">
            <w:pPr>
              <w:pStyle w:val="10pointItalics"/>
              <w:rPr>
                <w:szCs w:val="20"/>
              </w:rPr>
            </w:pPr>
            <w:r w:rsidRPr="00C51795">
              <w:rPr>
                <w:szCs w:val="20"/>
              </w:rPr>
              <w:t>Assi</w:t>
            </w:r>
            <w:r>
              <w:rPr>
                <w:szCs w:val="20"/>
              </w:rPr>
              <w:t>s</w:t>
            </w:r>
            <w:r w:rsidRPr="00C51795">
              <w:rPr>
                <w:szCs w:val="20"/>
              </w:rPr>
              <w:t>tan</w:t>
            </w:r>
            <w:r>
              <w:rPr>
                <w:szCs w:val="20"/>
              </w:rPr>
              <w:t>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11B9A" w:rsidRDefault="00411B9A" w:rsidP="00EF17BC">
      <w:pPr>
        <w:spacing w:line="287" w:lineRule="atLeast"/>
      </w:pPr>
    </w:p>
    <w:p w:rsidR="00EF17BC" w:rsidRDefault="00C67F2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67F2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F2D" w:rsidRDefault="00C67F2D">
      <w:r>
        <w:separator/>
      </w:r>
    </w:p>
  </w:endnote>
  <w:endnote w:type="continuationSeparator" w:id="0">
    <w:p w:rsidR="00C67F2D" w:rsidRDefault="00C6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D666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59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F2D" w:rsidRDefault="00C67F2D">
      <w:r>
        <w:separator/>
      </w:r>
    </w:p>
  </w:footnote>
  <w:footnote w:type="continuationSeparator" w:id="0">
    <w:p w:rsidR="00C67F2D" w:rsidRDefault="00C67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F2D" w:rsidRDefault="00C67F2D" w:rsidP="00C67F2D">
    <w:pPr>
      <w:pStyle w:val="Header"/>
      <w:jc w:val="center"/>
    </w:pPr>
    <w:r>
      <w:t>F</w:t>
    </w:r>
    <w:r w:rsidR="00DF6FAF">
      <w:t>E to A4170 [2</w:t>
    </w:r>
    <w:r>
      <w:t>R]</w:t>
    </w:r>
  </w:p>
  <w:p w:rsidR="00C67F2D" w:rsidRDefault="00C67F2D" w:rsidP="00C67F2D">
    <w:pPr>
      <w:pStyle w:val="Header"/>
      <w:jc w:val="center"/>
    </w:pPr>
    <w:r>
      <w:fldChar w:fldCharType="begin"/>
    </w:r>
    <w:r>
      <w:instrText xml:space="preserve"> PAGE  \* MERGEFORMAT </w:instrText>
    </w:r>
    <w:r>
      <w:fldChar w:fldCharType="separate"/>
    </w:r>
    <w:r w:rsidR="00411B9A">
      <w:rPr>
        <w:noProof/>
      </w:rPr>
      <w:t>3</w:t>
    </w:r>
    <w:r>
      <w:fldChar w:fldCharType="end"/>
    </w:r>
  </w:p>
  <w:p w:rsidR="00C67F2D" w:rsidRDefault="00C67F2D" w:rsidP="00C67F2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F2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452E"/>
    <w:rsid w:val="00157AED"/>
    <w:rsid w:val="00172CF5"/>
    <w:rsid w:val="001907A1"/>
    <w:rsid w:val="00193C26"/>
    <w:rsid w:val="00194789"/>
    <w:rsid w:val="00197240"/>
    <w:rsid w:val="001B1D4B"/>
    <w:rsid w:val="001B2BA9"/>
    <w:rsid w:val="001D0C90"/>
    <w:rsid w:val="001D3FD4"/>
    <w:rsid w:val="001E0C10"/>
    <w:rsid w:val="001F4F8B"/>
    <w:rsid w:val="00201322"/>
    <w:rsid w:val="00203C53"/>
    <w:rsid w:val="00207E15"/>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3661"/>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1B9A"/>
    <w:rsid w:val="004149CC"/>
    <w:rsid w:val="004231DC"/>
    <w:rsid w:val="00450410"/>
    <w:rsid w:val="00485323"/>
    <w:rsid w:val="00487ED8"/>
    <w:rsid w:val="004911CB"/>
    <w:rsid w:val="00491918"/>
    <w:rsid w:val="004A10CD"/>
    <w:rsid w:val="004A2E7F"/>
    <w:rsid w:val="004A5A65"/>
    <w:rsid w:val="004A5BC3"/>
    <w:rsid w:val="004B1485"/>
    <w:rsid w:val="004C6ECA"/>
    <w:rsid w:val="004D6C2C"/>
    <w:rsid w:val="004D7D86"/>
    <w:rsid w:val="004E1959"/>
    <w:rsid w:val="004E40B4"/>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548C5"/>
    <w:rsid w:val="0065792A"/>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010"/>
    <w:rsid w:val="00894971"/>
    <w:rsid w:val="008A391B"/>
    <w:rsid w:val="008C0341"/>
    <w:rsid w:val="008D5731"/>
    <w:rsid w:val="008E1349"/>
    <w:rsid w:val="0091428F"/>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2EBE"/>
    <w:rsid w:val="00A0406F"/>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53B8"/>
    <w:rsid w:val="00B43CBA"/>
    <w:rsid w:val="00B4569E"/>
    <w:rsid w:val="00B45879"/>
    <w:rsid w:val="00B551EB"/>
    <w:rsid w:val="00B55F3D"/>
    <w:rsid w:val="00B84AC8"/>
    <w:rsid w:val="00B90F8C"/>
    <w:rsid w:val="00B91C0B"/>
    <w:rsid w:val="00B93AE8"/>
    <w:rsid w:val="00B97E24"/>
    <w:rsid w:val="00BA0BE6"/>
    <w:rsid w:val="00BA2122"/>
    <w:rsid w:val="00BA2F3A"/>
    <w:rsid w:val="00BD666E"/>
    <w:rsid w:val="00BF47F9"/>
    <w:rsid w:val="00C07688"/>
    <w:rsid w:val="00C16EE2"/>
    <w:rsid w:val="00C260AB"/>
    <w:rsid w:val="00C32933"/>
    <w:rsid w:val="00C3314D"/>
    <w:rsid w:val="00C51795"/>
    <w:rsid w:val="00C61716"/>
    <w:rsid w:val="00C67F2D"/>
    <w:rsid w:val="00C75246"/>
    <w:rsid w:val="00C80B0B"/>
    <w:rsid w:val="00C91EDF"/>
    <w:rsid w:val="00C97447"/>
    <w:rsid w:val="00CC6622"/>
    <w:rsid w:val="00CF744B"/>
    <w:rsid w:val="00D20F5D"/>
    <w:rsid w:val="00D376ED"/>
    <w:rsid w:val="00D40E4F"/>
    <w:rsid w:val="00D638D0"/>
    <w:rsid w:val="00D67A0A"/>
    <w:rsid w:val="00D734B9"/>
    <w:rsid w:val="00D762A6"/>
    <w:rsid w:val="00D762BF"/>
    <w:rsid w:val="00D83CF0"/>
    <w:rsid w:val="00D84564"/>
    <w:rsid w:val="00D958CF"/>
    <w:rsid w:val="00D968A7"/>
    <w:rsid w:val="00DC2149"/>
    <w:rsid w:val="00DC789F"/>
    <w:rsid w:val="00DD3C40"/>
    <w:rsid w:val="00DD7275"/>
    <w:rsid w:val="00DE1C6C"/>
    <w:rsid w:val="00DE47C2"/>
    <w:rsid w:val="00DE5037"/>
    <w:rsid w:val="00DF054C"/>
    <w:rsid w:val="00DF65C1"/>
    <w:rsid w:val="00DF6FAF"/>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00BD"/>
    <w:rsid w:val="00EB1C90"/>
    <w:rsid w:val="00EC1EF8"/>
    <w:rsid w:val="00EC2547"/>
    <w:rsid w:val="00EC4079"/>
    <w:rsid w:val="00EE2F33"/>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37A3"/>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C2C4438-3145-4E8A-99E3-CDE96DBC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B353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53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1251</Words>
  <Characters>6985</Characters>
  <Application>Microsoft Office Word</Application>
  <DocSecurity>0</DocSecurity>
  <Lines>137</Lines>
  <Paragraphs>48</Paragraphs>
  <ScaleCrop>false</ScaleCrop>
  <HeadingPairs>
    <vt:vector size="2" baseType="variant">
      <vt:variant>
        <vt:lpstr>Title</vt:lpstr>
      </vt:variant>
      <vt:variant>
        <vt:i4>1</vt:i4>
      </vt:variant>
    </vt:vector>
  </HeadingPairs>
  <TitlesOfParts>
    <vt:vector size="1" baseType="lpstr">
      <vt:lpstr>A4170 [2R]  FISCAL ESTIMATE</vt:lpstr>
    </vt:vector>
  </TitlesOfParts>
  <Manager>Anne Cappabianca;R211</Manager>
  <Company>Office of Legislative Services</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A4170 2R  FISCAL ESTIMATE</dc:title>
  <dc:subject>20-8874</dc:subject>
  <dc:creator>Assemblyman ZWICKER Assemblyman BENSON</dc:creator>
  <cp:keywords>A4170|3|HS |312|0|285|!||</cp:keywords>
  <dc:description>Sent to Sponsor 7/30</dc:description>
  <cp:lastModifiedBy>Sommers, Shelly</cp:lastModifiedBy>
  <cp:revision>2</cp:revision>
  <cp:lastPrinted>2020-08-05T15:38:00Z</cp:lastPrinted>
  <dcterms:created xsi:type="dcterms:W3CDTF">2020-08-05T16:32:00Z</dcterms:created>
  <dcterms:modified xsi:type="dcterms:W3CDTF">2020-08-05T16:32:00Z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