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84D2A" w:rsidP="00407C9E">
      <w:pPr>
        <w:pStyle w:val="NoteOrEstimate"/>
      </w:pPr>
      <w:r>
        <w:t>LEGISLATIVE FISCAL ESTIMATE</w:t>
      </w:r>
    </w:p>
    <w:p w:rsidR="00884D2A" w:rsidRPr="00884D2A" w:rsidRDefault="00884D2A" w:rsidP="00884D2A">
      <w:pPr>
        <w:pStyle w:val="Reprint"/>
      </w:pPr>
      <w:r>
        <w:t>[First Reprint]</w:t>
      </w:r>
    </w:p>
    <w:p w:rsidR="003C5892" w:rsidRDefault="00884D2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rsidR="00C378E1">
        <w:t>4</w:t>
      </w:r>
      <w:r>
        <w:t>1</w:t>
      </w:r>
      <w:r w:rsidR="00C378E1">
        <w:t>7</w:t>
      </w:r>
      <w:r>
        <w:t>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93A8F" w:rsidP="00893A8F">
      <w:pPr>
        <w:pStyle w:val="BillNo"/>
      </w:pPr>
      <w:r>
        <w:t>219th LEGISLATURE</w:t>
      </w:r>
    </w:p>
    <w:p w:rsidR="00353325" w:rsidRDefault="00353325" w:rsidP="00353325"/>
    <w:p w:rsidR="00893A8F" w:rsidRDefault="00893A8F" w:rsidP="00893A8F">
      <w:pPr>
        <w:jc w:val="center"/>
      </w:pPr>
      <w:r>
        <w:t>DATED: JULY 21, 2020</w:t>
      </w:r>
    </w:p>
    <w:p w:rsidR="00893A8F" w:rsidRDefault="00893A8F" w:rsidP="00353325"/>
    <w:p w:rsidR="00893A8F" w:rsidRDefault="00893A8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A0C29" w:rsidP="00515AC5">
            <w:r>
              <w:t>“New Jersey COVID-19 Emergency Bond Act,” authorizes issuance of State bonds totaling up to $9.9 billion.</w:t>
            </w:r>
          </w:p>
        </w:tc>
      </w:tr>
      <w:tr w:rsidR="00054D08">
        <w:trPr>
          <w:trHeight w:val="576"/>
        </w:trPr>
        <w:tc>
          <w:tcPr>
            <w:tcW w:w="2333" w:type="dxa"/>
          </w:tcPr>
          <w:p w:rsidR="00054D08" w:rsidRPr="003C5892" w:rsidRDefault="00054D08" w:rsidP="00054D08">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5046A9">
              <w:rPr>
                <w:b/>
                <w:bCs/>
              </w:rPr>
              <w:t>s</w:t>
            </w:r>
            <w:r w:rsidRPr="003C5892">
              <w:rPr>
                <w:b/>
                <w:bCs/>
              </w:rPr>
              <w:t xml:space="preserve"> of Impact:</w:t>
            </w:r>
          </w:p>
        </w:tc>
        <w:tc>
          <w:tcPr>
            <w:tcW w:w="7013" w:type="dxa"/>
          </w:tcPr>
          <w:p w:rsidR="00542978" w:rsidRDefault="00054D08" w:rsidP="00542978">
            <w:pPr>
              <w:pStyle w:val="Default"/>
            </w:pPr>
            <w:r>
              <w:t xml:space="preserve">Multi-year State </w:t>
            </w:r>
            <w:r w:rsidR="00542978">
              <w:t>debt service payment</w:t>
            </w:r>
            <w:r>
              <w:t xml:space="preserve"> and </w:t>
            </w:r>
            <w:r w:rsidR="006129BB">
              <w:t xml:space="preserve">State </w:t>
            </w:r>
            <w:r>
              <w:t xml:space="preserve">revenue increases. </w:t>
            </w:r>
          </w:p>
          <w:p w:rsidR="00054D08" w:rsidRDefault="00054D08" w:rsidP="00054D08"/>
        </w:tc>
      </w:tr>
      <w:tr w:rsidR="00054D08">
        <w:trPr>
          <w:trHeight w:val="576"/>
        </w:trPr>
        <w:tc>
          <w:tcPr>
            <w:tcW w:w="2333" w:type="dxa"/>
          </w:tcPr>
          <w:p w:rsidR="00054D08" w:rsidRPr="003C5892" w:rsidRDefault="005046A9" w:rsidP="00054D08">
            <w:pPr>
              <w:tabs>
                <w:tab w:val="left" w:pos="360"/>
                <w:tab w:val="left" w:pos="720"/>
                <w:tab w:val="left" w:pos="1440"/>
                <w:tab w:val="left" w:pos="2160"/>
                <w:tab w:val="left" w:pos="2880"/>
                <w:tab w:val="left" w:pos="3600"/>
                <w:tab w:val="left" w:pos="4320"/>
                <w:tab w:val="left" w:pos="5040"/>
              </w:tabs>
              <w:rPr>
                <w:b/>
                <w:bCs/>
              </w:rPr>
            </w:pPr>
            <w:r>
              <w:rPr>
                <w:b/>
                <w:bCs/>
              </w:rPr>
              <w:t>Agency</w:t>
            </w:r>
            <w:r w:rsidR="00054D08" w:rsidRPr="003C5892">
              <w:rPr>
                <w:b/>
                <w:bCs/>
              </w:rPr>
              <w:t xml:space="preserve"> Affected:</w:t>
            </w:r>
          </w:p>
        </w:tc>
        <w:tc>
          <w:tcPr>
            <w:tcW w:w="7013" w:type="dxa"/>
          </w:tcPr>
          <w:p w:rsidR="00054D08" w:rsidRDefault="00054D08" w:rsidP="00054D08">
            <w:r>
              <w:t xml:space="preserve">Department of the Treasury.  </w:t>
            </w:r>
          </w:p>
          <w:p w:rsidR="00054D08" w:rsidRDefault="00054D08" w:rsidP="00054D08"/>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C508B2" w:rsidRDefault="00C508B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5840"/>
        <w:gridCol w:w="3520"/>
        <w:gridCol w:w="15"/>
      </w:tblGrid>
      <w:tr w:rsidR="00C508B2" w:rsidTr="00792B83">
        <w:trPr>
          <w:trHeight w:val="410"/>
        </w:trPr>
        <w:tc>
          <w:tcPr>
            <w:tcW w:w="9375" w:type="dxa"/>
            <w:gridSpan w:val="3"/>
            <w:tcBorders>
              <w:top w:val="nil"/>
              <w:left w:val="nil"/>
              <w:bottom w:val="nil"/>
              <w:right w:val="nil"/>
            </w:tcBorders>
            <w:vAlign w:val="bottom"/>
          </w:tcPr>
          <w:p w:rsidR="00C508B2" w:rsidRPr="00F11982" w:rsidRDefault="00C508B2" w:rsidP="00792B8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508B2" w:rsidTr="00792B83">
        <w:trPr>
          <w:gridAfter w:val="1"/>
          <w:wAfter w:w="15" w:type="dxa"/>
          <w:trHeight w:val="410"/>
        </w:trPr>
        <w:tc>
          <w:tcPr>
            <w:tcW w:w="5840" w:type="dxa"/>
            <w:tcBorders>
              <w:top w:val="single" w:sz="6" w:space="0" w:color="auto"/>
              <w:left w:val="single" w:sz="6" w:space="0" w:color="auto"/>
              <w:bottom w:val="single" w:sz="12" w:space="0" w:color="auto"/>
              <w:right w:val="nil"/>
            </w:tcBorders>
            <w:shd w:val="pct20" w:color="auto" w:fill="auto"/>
            <w:vAlign w:val="bottom"/>
          </w:tcPr>
          <w:p w:rsidR="00C508B2" w:rsidRPr="00F11982" w:rsidRDefault="00C508B2" w:rsidP="00792B8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520" w:type="dxa"/>
            <w:tcBorders>
              <w:top w:val="single" w:sz="6" w:space="0" w:color="auto"/>
              <w:left w:val="nil"/>
              <w:bottom w:val="single" w:sz="12" w:space="0" w:color="auto"/>
              <w:right w:val="single" w:sz="6" w:space="0" w:color="auto"/>
            </w:tcBorders>
            <w:shd w:val="pct20" w:color="auto" w:fill="auto"/>
            <w:vAlign w:val="bottom"/>
          </w:tcPr>
          <w:p w:rsidR="00C508B2" w:rsidRPr="00F11982" w:rsidRDefault="00C508B2" w:rsidP="00792B83">
            <w:pPr>
              <w:tabs>
                <w:tab w:val="left" w:pos="360"/>
                <w:tab w:val="left" w:pos="720"/>
                <w:tab w:val="left" w:pos="1440"/>
                <w:tab w:val="left" w:pos="2160"/>
                <w:tab w:val="left" w:pos="2880"/>
                <w:tab w:val="left" w:pos="3600"/>
                <w:tab w:val="left" w:pos="4320"/>
                <w:tab w:val="left" w:pos="5040"/>
              </w:tabs>
              <w:jc w:val="center"/>
              <w:rPr>
                <w:b/>
              </w:rPr>
            </w:pPr>
          </w:p>
        </w:tc>
      </w:tr>
      <w:tr w:rsidR="00C508B2" w:rsidTr="00792B83">
        <w:trPr>
          <w:gridAfter w:val="1"/>
          <w:wAfter w:w="15" w:type="dxa"/>
          <w:trHeight w:val="410"/>
        </w:trPr>
        <w:tc>
          <w:tcPr>
            <w:tcW w:w="5840" w:type="dxa"/>
            <w:tcBorders>
              <w:top w:val="nil"/>
              <w:left w:val="single" w:sz="6" w:space="0" w:color="auto"/>
              <w:bottom w:val="nil"/>
              <w:right w:val="nil"/>
            </w:tcBorders>
            <w:tcMar>
              <w:bottom w:w="29" w:type="dxa"/>
            </w:tcMar>
            <w:vAlign w:val="bottom"/>
          </w:tcPr>
          <w:p w:rsidR="00C508B2" w:rsidRPr="00FB4C19" w:rsidRDefault="00C508B2" w:rsidP="00FB4C19">
            <w:pPr>
              <w:tabs>
                <w:tab w:val="left" w:pos="360"/>
                <w:tab w:val="left" w:pos="720"/>
                <w:tab w:val="left" w:pos="1440"/>
                <w:tab w:val="left" w:pos="2160"/>
                <w:tab w:val="left" w:pos="2880"/>
                <w:tab w:val="left" w:pos="3600"/>
                <w:tab w:val="left" w:pos="4320"/>
                <w:tab w:val="left" w:pos="5040"/>
              </w:tabs>
              <w:rPr>
                <w:b/>
              </w:rPr>
            </w:pPr>
            <w:r>
              <w:rPr>
                <w:b/>
              </w:rPr>
              <w:t xml:space="preserve">Multi-Year State </w:t>
            </w:r>
            <w:r w:rsidR="00FB4C19">
              <w:rPr>
                <w:b/>
              </w:rPr>
              <w:t>Debt Service Payment</w:t>
            </w:r>
            <w:r>
              <w:rPr>
                <w:b/>
              </w:rPr>
              <w:t xml:space="preserve"> Increase</w:t>
            </w:r>
            <w:r w:rsidR="00FB4C19" w:rsidRPr="00FB4C19">
              <w:rPr>
                <w:b/>
              </w:rPr>
              <w:t xml:space="preserve"> </w:t>
            </w:r>
          </w:p>
        </w:tc>
        <w:tc>
          <w:tcPr>
            <w:tcW w:w="3520" w:type="dxa"/>
            <w:tcBorders>
              <w:top w:val="nil"/>
              <w:left w:val="nil"/>
              <w:bottom w:val="nil"/>
              <w:right w:val="single" w:sz="6" w:space="0" w:color="auto"/>
            </w:tcBorders>
            <w:tcMar>
              <w:bottom w:w="29" w:type="dxa"/>
            </w:tcMar>
            <w:vAlign w:val="bottom"/>
          </w:tcPr>
          <w:p w:rsidR="00C508B2" w:rsidRDefault="00C508B2" w:rsidP="00792B83">
            <w:pPr>
              <w:tabs>
                <w:tab w:val="left" w:pos="360"/>
                <w:tab w:val="left" w:pos="720"/>
                <w:tab w:val="left" w:pos="1440"/>
                <w:tab w:val="left" w:pos="2160"/>
                <w:tab w:val="left" w:pos="2880"/>
                <w:tab w:val="left" w:pos="3600"/>
                <w:tab w:val="left" w:pos="4320"/>
                <w:tab w:val="left" w:pos="5040"/>
              </w:tabs>
              <w:jc w:val="center"/>
            </w:pPr>
            <w:r>
              <w:t>Indeterminate</w:t>
            </w:r>
          </w:p>
        </w:tc>
      </w:tr>
      <w:tr w:rsidR="00C508B2" w:rsidTr="00792B83">
        <w:trPr>
          <w:gridAfter w:val="1"/>
          <w:wAfter w:w="15" w:type="dxa"/>
          <w:trHeight w:val="410"/>
        </w:trPr>
        <w:tc>
          <w:tcPr>
            <w:tcW w:w="5840" w:type="dxa"/>
            <w:tcBorders>
              <w:top w:val="nil"/>
              <w:left w:val="single" w:sz="6" w:space="0" w:color="auto"/>
              <w:bottom w:val="nil"/>
              <w:right w:val="nil"/>
            </w:tcBorders>
            <w:tcMar>
              <w:bottom w:w="29" w:type="dxa"/>
            </w:tcMar>
            <w:vAlign w:val="bottom"/>
          </w:tcPr>
          <w:p w:rsidR="00C508B2" w:rsidRDefault="00C508B2" w:rsidP="00792B83">
            <w:pPr>
              <w:tabs>
                <w:tab w:val="left" w:pos="360"/>
                <w:tab w:val="left" w:pos="720"/>
                <w:tab w:val="left" w:pos="1440"/>
                <w:tab w:val="left" w:pos="2160"/>
                <w:tab w:val="left" w:pos="2880"/>
                <w:tab w:val="left" w:pos="3600"/>
                <w:tab w:val="left" w:pos="4320"/>
                <w:tab w:val="left" w:pos="5040"/>
              </w:tabs>
              <w:rPr>
                <w:b/>
              </w:rPr>
            </w:pPr>
            <w:r>
              <w:rPr>
                <w:b/>
              </w:rPr>
              <w:t>Multi-Year State Revenue Increase</w:t>
            </w:r>
          </w:p>
        </w:tc>
        <w:tc>
          <w:tcPr>
            <w:tcW w:w="3520" w:type="dxa"/>
            <w:tcBorders>
              <w:top w:val="nil"/>
              <w:left w:val="nil"/>
              <w:bottom w:val="nil"/>
              <w:right w:val="single" w:sz="6" w:space="0" w:color="auto"/>
            </w:tcBorders>
            <w:tcMar>
              <w:bottom w:w="29" w:type="dxa"/>
            </w:tcMar>
            <w:vAlign w:val="bottom"/>
          </w:tcPr>
          <w:p w:rsidR="00C508B2" w:rsidRDefault="00C508B2" w:rsidP="00792B83">
            <w:pPr>
              <w:tabs>
                <w:tab w:val="left" w:pos="360"/>
                <w:tab w:val="left" w:pos="720"/>
                <w:tab w:val="left" w:pos="1440"/>
                <w:tab w:val="left" w:pos="2160"/>
                <w:tab w:val="left" w:pos="2880"/>
                <w:tab w:val="left" w:pos="3600"/>
                <w:tab w:val="left" w:pos="4320"/>
                <w:tab w:val="left" w:pos="5040"/>
              </w:tabs>
              <w:jc w:val="center"/>
            </w:pPr>
            <w:r>
              <w:t>Indeterminate</w:t>
            </w:r>
          </w:p>
        </w:tc>
      </w:tr>
      <w:tr w:rsidR="00C508B2" w:rsidTr="00792B8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508B2" w:rsidRDefault="00C508B2" w:rsidP="00792B8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508B2" w:rsidRDefault="00C508B2" w:rsidP="00C508B2">
      <w:pPr>
        <w:pStyle w:val="StyleBulletedSymbolsymbol"/>
        <w:tabs>
          <w:tab w:val="num" w:pos="360"/>
        </w:tabs>
      </w:pPr>
      <w:r w:rsidRPr="00B15478">
        <w:t xml:space="preserve">The Office of Legislative Services (OLS) cannot project the total debt service cost the State </w:t>
      </w:r>
      <w:r>
        <w:t>would</w:t>
      </w:r>
      <w:r w:rsidRPr="00B15478">
        <w:t xml:space="preserve"> incur from issuing different forms of indebtedness to address State </w:t>
      </w:r>
      <w:r w:rsidR="006129BB">
        <w:t xml:space="preserve">government </w:t>
      </w:r>
      <w:r w:rsidRPr="00B15478">
        <w:t xml:space="preserve">funding needs related to the COVID-19 pandemic.  This is so because the final debt service cost </w:t>
      </w:r>
      <w:r>
        <w:t>would</w:t>
      </w:r>
      <w:r w:rsidRPr="00B15478">
        <w:t xml:space="preserve"> be a function of the amounts, structures, and terms of the authorized debt instruments, of which many ele</w:t>
      </w:r>
      <w:r w:rsidR="00893A8F">
        <w:t>ments remain to be determined.</w:t>
      </w:r>
    </w:p>
    <w:p w:rsidR="00C508B2" w:rsidRDefault="00C508B2" w:rsidP="00C508B2">
      <w:pPr>
        <w:pStyle w:val="StyleBulletedSymbolsymbol"/>
        <w:tabs>
          <w:tab w:val="num" w:pos="360"/>
        </w:tabs>
      </w:pPr>
      <w:r>
        <w:t>Annual State revenues would increase by an indeterminate amount over several years from interest earned on unexpended borrowed funds.</w:t>
      </w:r>
      <w:r w:rsidR="00A915E5">
        <w:t xml:space="preserve"> </w:t>
      </w:r>
      <w:r>
        <w:t xml:space="preserve"> </w:t>
      </w:r>
      <w:r w:rsidR="00A915E5">
        <w:t xml:space="preserve">Any State revenue gain, however, would be widely outpaced by the increase in State debt </w:t>
      </w:r>
      <w:r w:rsidR="00893A8F">
        <w:t>service payment obligations.</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93C38" w:rsidRDefault="00255944" w:rsidP="00793C38">
      <w:pPr>
        <w:tabs>
          <w:tab w:val="left" w:pos="360"/>
          <w:tab w:val="left" w:pos="720"/>
          <w:tab w:val="left" w:pos="1440"/>
          <w:tab w:val="left" w:pos="2160"/>
          <w:tab w:val="left" w:pos="2880"/>
          <w:tab w:val="left" w:pos="3600"/>
          <w:tab w:val="left" w:pos="4320"/>
          <w:tab w:val="left" w:pos="5040"/>
        </w:tabs>
      </w:pPr>
      <w:r w:rsidRPr="00255944">
        <w:tab/>
      </w:r>
      <w:r w:rsidR="00793C38">
        <w:t xml:space="preserve">The bill permits the issuance of </w:t>
      </w:r>
      <w:r w:rsidR="00D34D5D">
        <w:t xml:space="preserve">up to $9.9 billion in </w:t>
      </w:r>
      <w:r w:rsidR="00793C38">
        <w:t xml:space="preserve">State </w:t>
      </w:r>
      <w:r w:rsidR="00586DF7">
        <w:t>indebtedness</w:t>
      </w:r>
      <w:r w:rsidR="00793C38">
        <w:t xml:space="preserve"> without voter approval to </w:t>
      </w:r>
      <w:r w:rsidR="00793C38" w:rsidRPr="00B15478">
        <w:t xml:space="preserve">address State government funding needs </w:t>
      </w:r>
      <w:r w:rsidR="00793C38">
        <w:t>arising from</w:t>
      </w:r>
      <w:r w:rsidR="00793C38" w:rsidRPr="00B15478">
        <w:t xml:space="preserve"> the COVID-19 pandemic</w:t>
      </w:r>
      <w:r w:rsidR="004B2CF2">
        <w:t>.  Of the total, up to $2.7 billion may</w:t>
      </w:r>
      <w:r w:rsidR="00A91038">
        <w:t xml:space="preserve"> </w:t>
      </w:r>
      <w:r w:rsidR="004B2CF2">
        <w:t>be used</w:t>
      </w:r>
      <w:r w:rsidR="00AB6AC8">
        <w:t xml:space="preserve"> in FY 2020 and </w:t>
      </w:r>
      <w:r w:rsidR="004B2CF2">
        <w:t xml:space="preserve">up to $7.2 billion in </w:t>
      </w:r>
      <w:r w:rsidR="00AB6AC8">
        <w:t>FY 2021</w:t>
      </w:r>
      <w:r w:rsidR="00586DF7">
        <w:t>.  The indebtedness may either be in the form of</w:t>
      </w:r>
      <w:r w:rsidR="00793C38">
        <w:t xml:space="preserve"> general obligation bonds, which may mature no later than 35 y</w:t>
      </w:r>
      <w:r w:rsidR="00586DF7">
        <w:t>ears from the date of issuance;</w:t>
      </w:r>
      <w:r w:rsidR="00793C38">
        <w:t xml:space="preserve"> </w:t>
      </w:r>
      <w:r w:rsidR="00586DF7">
        <w:t xml:space="preserve">or short-term notes sold to </w:t>
      </w:r>
      <w:r w:rsidR="00793C38">
        <w:t xml:space="preserve">the federal government on such terms as the </w:t>
      </w:r>
      <w:r w:rsidR="00793C38">
        <w:lastRenderedPageBreak/>
        <w:t xml:space="preserve">federal government stipulates.  Any debt issuance may subsequently be refunded.  The State would back all debt instruments with its taxing powers, pledging its full faith and credit to the required semiannual debt service payments.  Any interest the State may earn on any unexpended principal amount would be deposited into the State General Fund.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D47E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D47E7" w:rsidRDefault="00255944" w:rsidP="00ED47E7">
      <w:pPr>
        <w:tabs>
          <w:tab w:val="left" w:pos="360"/>
          <w:tab w:val="left" w:pos="720"/>
          <w:tab w:val="left" w:pos="1440"/>
          <w:tab w:val="left" w:pos="2160"/>
          <w:tab w:val="left" w:pos="2880"/>
          <w:tab w:val="left" w:pos="3600"/>
          <w:tab w:val="left" w:pos="4320"/>
          <w:tab w:val="left" w:pos="5040"/>
        </w:tabs>
      </w:pPr>
      <w:r>
        <w:tab/>
      </w:r>
      <w:r w:rsidR="00ED47E7">
        <w:t xml:space="preserve">The OLS determines that the bill would produce indeterminate multi-year State expenditure and revenue increases with expenditure growth widely outpacing </w:t>
      </w:r>
      <w:r w:rsidR="00872497">
        <w:t xml:space="preserve">added revenue. </w:t>
      </w:r>
    </w:p>
    <w:p w:rsidR="00ED47E7" w:rsidRDefault="00ED47E7" w:rsidP="00ED47E7">
      <w:pPr>
        <w:tabs>
          <w:tab w:val="left" w:pos="360"/>
          <w:tab w:val="left" w:pos="720"/>
          <w:tab w:val="left" w:pos="1440"/>
          <w:tab w:val="left" w:pos="2160"/>
          <w:tab w:val="left" w:pos="2880"/>
          <w:tab w:val="left" w:pos="3600"/>
          <w:tab w:val="left" w:pos="4320"/>
          <w:tab w:val="left" w:pos="5040"/>
        </w:tabs>
      </w:pPr>
    </w:p>
    <w:p w:rsidR="00ED47E7" w:rsidRPr="00752800" w:rsidRDefault="00ED47E7" w:rsidP="00ED47E7">
      <w:pPr>
        <w:tabs>
          <w:tab w:val="left" w:pos="360"/>
          <w:tab w:val="left" w:pos="720"/>
          <w:tab w:val="left" w:pos="1440"/>
          <w:tab w:val="left" w:pos="2160"/>
          <w:tab w:val="left" w:pos="2880"/>
          <w:tab w:val="left" w:pos="3600"/>
          <w:tab w:val="left" w:pos="4320"/>
          <w:tab w:val="left" w:pos="5040"/>
        </w:tabs>
        <w:rPr>
          <w:b/>
          <w:bCs/>
          <w:u w:val="single"/>
        </w:rPr>
      </w:pPr>
      <w:r w:rsidRPr="00752800">
        <w:rPr>
          <w:b/>
          <w:bCs/>
          <w:u w:val="single"/>
        </w:rPr>
        <w:t>State Debt Service Payments:</w:t>
      </w:r>
      <w:r w:rsidRPr="00752800">
        <w:rPr>
          <w:b/>
          <w:bCs/>
        </w:rPr>
        <w:t xml:space="preserve">  </w:t>
      </w:r>
      <w:r w:rsidRPr="00B15478">
        <w:t>The</w:t>
      </w:r>
      <w:r>
        <w:t xml:space="preserve"> </w:t>
      </w:r>
      <w:r w:rsidRPr="00B15478">
        <w:t xml:space="preserve">OLS cannot project the total debt service cost the State </w:t>
      </w:r>
      <w:r>
        <w:t>would</w:t>
      </w:r>
      <w:r w:rsidRPr="00B15478">
        <w:t xml:space="preserve"> incur from issuing different forms of indebtedness to address State </w:t>
      </w:r>
      <w:r w:rsidR="006129BB">
        <w:t xml:space="preserve">government </w:t>
      </w:r>
      <w:r w:rsidRPr="00B15478">
        <w:t xml:space="preserve">funding needs related to the COVID-19 pandemic.  This is so because the final debt service cost </w:t>
      </w:r>
      <w:r>
        <w:t>would</w:t>
      </w:r>
      <w:r w:rsidRPr="00B15478">
        <w:t xml:space="preserve"> be a function of the amounts, structures, and terms of the authorized debt instruments, of which many elem</w:t>
      </w:r>
      <w:r>
        <w:t xml:space="preserve">ents remain to be determined.  </w:t>
      </w:r>
    </w:p>
    <w:p w:rsidR="00ED47E7" w:rsidRDefault="00ED47E7" w:rsidP="00ED47E7">
      <w:pPr>
        <w:tabs>
          <w:tab w:val="left" w:pos="360"/>
          <w:tab w:val="left" w:pos="720"/>
          <w:tab w:val="left" w:pos="1440"/>
          <w:tab w:val="left" w:pos="2160"/>
          <w:tab w:val="left" w:pos="2880"/>
          <w:tab w:val="left" w:pos="3600"/>
          <w:tab w:val="left" w:pos="4320"/>
          <w:tab w:val="left" w:pos="5040"/>
        </w:tabs>
      </w:pPr>
      <w:r>
        <w:tab/>
      </w:r>
      <w:r>
        <w:rPr>
          <w:i/>
          <w:iCs/>
          <w:u w:val="single"/>
        </w:rPr>
        <w:t>General Obligation Bond</w:t>
      </w:r>
      <w:r w:rsidRPr="007859EE">
        <w:rPr>
          <w:i/>
          <w:iCs/>
          <w:u w:val="single"/>
        </w:rPr>
        <w:t>s:</w:t>
      </w:r>
      <w:r>
        <w:t xml:space="preserve">   Although the bill allows the </w:t>
      </w:r>
      <w:r w:rsidR="00F52BC9">
        <w:t xml:space="preserve">issuance of </w:t>
      </w:r>
      <w:r w:rsidR="006129BB">
        <w:t xml:space="preserve">up to </w:t>
      </w:r>
      <w:r w:rsidR="00F52BC9">
        <w:t>$9.9</w:t>
      </w:r>
      <w:r w:rsidRPr="00B15478">
        <w:t xml:space="preserve"> billion in general obligation bonds</w:t>
      </w:r>
      <w:r>
        <w:t>, the Executive may not exercise the full authority.  With the amount, structure</w:t>
      </w:r>
      <w:r w:rsidRPr="00B15478">
        <w:t>, and terms of the</w:t>
      </w:r>
      <w:r>
        <w:t xml:space="preserve"> general obligation bond issuance unknown, the OLS conducts a sensitivity analysis that identifies possible State debt service payment scenarios for each $1 billion in general obligation bonds issued.  In performing the analysis, the OLS makes the following simplifying assumptions: a) the bonds’ maturity period will be 20 years; b) two debt service payments will be made each year; c) the debt service payments will be level until maturity; and d) the bond issuance will have a basic structure without any credit enhancements or original issue premiums or discounts. </w:t>
      </w:r>
    </w:p>
    <w:p w:rsidR="00ED47E7" w:rsidRDefault="00ED47E7" w:rsidP="00ED47E7">
      <w:pPr>
        <w:tabs>
          <w:tab w:val="left" w:pos="360"/>
          <w:tab w:val="left" w:pos="720"/>
          <w:tab w:val="left" w:pos="1440"/>
          <w:tab w:val="left" w:pos="2160"/>
          <w:tab w:val="left" w:pos="2880"/>
          <w:tab w:val="left" w:pos="3600"/>
          <w:tab w:val="left" w:pos="4320"/>
          <w:tab w:val="left" w:pos="5040"/>
        </w:tabs>
      </w:pPr>
      <w:r>
        <w:tab/>
        <w:t xml:space="preserve">For each scenario, the table below displays annual debt service payments as well as total debt service and interest payments until the bonds are paid off.  The adjustable variable is the annual interest rate, which ranges from 4.0 percent to 6.0 percent.  Regarding the interest rate choice, the OLS places a one-percent band around the 5.0 percent rate the State secured in January 2020 for debt service payments for those series of a $150 million tax-exempt general obligation bond sale that have the latest maturity dates.  The OLS cautions, however, that conditions actually existing in the bond market at the time of issuance may dictate interest rates outside of the OLS’ band.  </w:t>
      </w:r>
    </w:p>
    <w:p w:rsidR="00ED47E7" w:rsidRDefault="00ED47E7" w:rsidP="00ED47E7">
      <w:pPr>
        <w:tabs>
          <w:tab w:val="left" w:pos="360"/>
          <w:tab w:val="left" w:pos="720"/>
          <w:tab w:val="left" w:pos="1440"/>
          <w:tab w:val="left" w:pos="2160"/>
          <w:tab w:val="left" w:pos="2880"/>
          <w:tab w:val="left" w:pos="3600"/>
          <w:tab w:val="left" w:pos="4320"/>
          <w:tab w:val="left" w:pos="5040"/>
        </w:tabs>
      </w:pPr>
    </w:p>
    <w:tbl>
      <w:tblPr>
        <w:tblW w:w="9365" w:type="dxa"/>
        <w:jc w:val="center"/>
        <w:tblLayout w:type="fixed"/>
        <w:tblLook w:val="04A0" w:firstRow="1" w:lastRow="0" w:firstColumn="1" w:lastColumn="0" w:noHBand="0" w:noVBand="1"/>
      </w:tblPr>
      <w:tblGrid>
        <w:gridCol w:w="2965"/>
        <w:gridCol w:w="1280"/>
        <w:gridCol w:w="1280"/>
        <w:gridCol w:w="1280"/>
        <w:gridCol w:w="1280"/>
        <w:gridCol w:w="1280"/>
      </w:tblGrid>
      <w:tr w:rsidR="00ED47E7" w:rsidRPr="00A739E4" w:rsidTr="00792B83">
        <w:trPr>
          <w:trHeight w:val="555"/>
          <w:jc w:val="center"/>
        </w:trPr>
        <w:tc>
          <w:tcPr>
            <w:tcW w:w="9365" w:type="dxa"/>
            <w:gridSpan w:val="6"/>
            <w:tcBorders>
              <w:top w:val="single" w:sz="4" w:space="0" w:color="auto"/>
              <w:left w:val="single" w:sz="4" w:space="0" w:color="auto"/>
              <w:bottom w:val="single" w:sz="4" w:space="0" w:color="auto"/>
              <w:right w:val="single" w:sz="4" w:space="0" w:color="auto"/>
            </w:tcBorders>
            <w:shd w:val="clear" w:color="000000" w:fill="DCE6F1"/>
            <w:noWrap/>
            <w:vAlign w:val="center"/>
            <w:hideMark/>
          </w:tcPr>
          <w:p w:rsidR="00ED47E7" w:rsidRDefault="00ED47E7"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Debt Service Payment Scenarios for Issuance of $</w:t>
            </w:r>
            <w:r>
              <w:rPr>
                <w:rFonts w:ascii="Calibri" w:hAnsi="Calibri"/>
                <w:b/>
                <w:bCs/>
                <w:color w:val="000000"/>
                <w:sz w:val="22"/>
                <w:szCs w:val="22"/>
              </w:rPr>
              <w:t>1</w:t>
            </w:r>
            <w:r w:rsidRPr="00A739E4">
              <w:rPr>
                <w:rFonts w:ascii="Calibri" w:hAnsi="Calibri"/>
                <w:b/>
                <w:bCs/>
                <w:color w:val="000000"/>
                <w:sz w:val="22"/>
                <w:szCs w:val="22"/>
              </w:rPr>
              <w:t xml:space="preserve"> </w:t>
            </w:r>
            <w:r>
              <w:rPr>
                <w:rFonts w:ascii="Calibri" w:hAnsi="Calibri"/>
                <w:b/>
                <w:bCs/>
                <w:color w:val="000000"/>
                <w:sz w:val="22"/>
                <w:szCs w:val="22"/>
              </w:rPr>
              <w:t xml:space="preserve">Billion in Bonds, 20-Year Maturity Period </w:t>
            </w:r>
          </w:p>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(In Millions</w:t>
            </w:r>
            <w:r w:rsidRPr="00A739E4">
              <w:rPr>
                <w:rFonts w:ascii="Calibri" w:hAnsi="Calibri"/>
                <w:b/>
                <w:bCs/>
                <w:color w:val="000000"/>
                <w:sz w:val="22"/>
                <w:szCs w:val="22"/>
              </w:rPr>
              <w:t>)</w:t>
            </w:r>
          </w:p>
        </w:tc>
      </w:tr>
      <w:tr w:rsidR="00ED47E7" w:rsidRPr="00A739E4" w:rsidTr="00792B83">
        <w:trPr>
          <w:trHeight w:val="300"/>
          <w:jc w:val="center"/>
        </w:trPr>
        <w:tc>
          <w:tcPr>
            <w:tcW w:w="296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ED47E7" w:rsidRPr="00A739E4" w:rsidRDefault="00ED47E7" w:rsidP="00792B83">
            <w:pPr>
              <w:spacing w:line="240" w:lineRule="auto"/>
              <w:jc w:val="center"/>
              <w:rPr>
                <w:rFonts w:ascii="Calibri" w:hAnsi="Calibri"/>
                <w:color w:val="000000"/>
                <w:sz w:val="22"/>
                <w:szCs w:val="22"/>
              </w:rPr>
            </w:pPr>
            <w:r w:rsidRPr="00A739E4">
              <w:rPr>
                <w:rFonts w:ascii="Calibri" w:hAnsi="Calibri"/>
                <w:color w:val="000000"/>
                <w:sz w:val="22"/>
                <w:szCs w:val="22"/>
              </w:rPr>
              <w:t> </w:t>
            </w:r>
          </w:p>
        </w:tc>
        <w:tc>
          <w:tcPr>
            <w:tcW w:w="6400" w:type="dxa"/>
            <w:gridSpan w:val="5"/>
            <w:tcBorders>
              <w:top w:val="single" w:sz="4" w:space="0" w:color="auto"/>
              <w:left w:val="nil"/>
              <w:bottom w:val="single" w:sz="4" w:space="0" w:color="auto"/>
              <w:right w:val="single" w:sz="4" w:space="0" w:color="auto"/>
            </w:tcBorders>
            <w:shd w:val="clear" w:color="auto" w:fill="auto"/>
            <w:noWrap/>
            <w:vAlign w:val="bottom"/>
            <w:hideMark/>
          </w:tcPr>
          <w:p w:rsidR="00ED47E7" w:rsidRPr="00A739E4" w:rsidRDefault="00ED47E7"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Annual Interest Rate</w:t>
            </w:r>
          </w:p>
        </w:tc>
      </w:tr>
      <w:tr w:rsidR="00ED47E7" w:rsidRPr="00A739E4" w:rsidTr="00792B83">
        <w:trPr>
          <w:trHeight w:val="300"/>
          <w:jc w:val="center"/>
        </w:trPr>
        <w:tc>
          <w:tcPr>
            <w:tcW w:w="2965" w:type="dxa"/>
            <w:vMerge/>
            <w:tcBorders>
              <w:top w:val="nil"/>
              <w:left w:val="single" w:sz="4" w:space="0" w:color="auto"/>
              <w:bottom w:val="single" w:sz="4" w:space="0" w:color="000000"/>
              <w:right w:val="single" w:sz="4" w:space="0" w:color="auto"/>
            </w:tcBorders>
            <w:vAlign w:val="center"/>
            <w:hideMark/>
          </w:tcPr>
          <w:p w:rsidR="00ED47E7" w:rsidRPr="00A739E4" w:rsidRDefault="00ED47E7" w:rsidP="00792B83">
            <w:pPr>
              <w:spacing w:line="240" w:lineRule="auto"/>
              <w:jc w:val="left"/>
              <w:rPr>
                <w:rFonts w:ascii="Calibri" w:hAnsi="Calibri"/>
                <w:color w:val="000000"/>
                <w:sz w:val="22"/>
                <w:szCs w:val="22"/>
              </w:rPr>
            </w:pP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4.0%</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4.5%</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5.0%</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5.5%</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6.0%</w:t>
            </w:r>
          </w:p>
        </w:tc>
      </w:tr>
      <w:tr w:rsidR="00ED47E7" w:rsidRPr="00A739E4" w:rsidTr="00792B83">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rsidR="00ED47E7" w:rsidRPr="00A739E4" w:rsidRDefault="00ED47E7" w:rsidP="00792B83">
            <w:pPr>
              <w:spacing w:line="240" w:lineRule="auto"/>
              <w:jc w:val="left"/>
              <w:rPr>
                <w:rFonts w:ascii="Calibri" w:hAnsi="Calibri"/>
                <w:b/>
                <w:bCs/>
                <w:color w:val="000000"/>
                <w:sz w:val="22"/>
                <w:szCs w:val="22"/>
              </w:rPr>
            </w:pPr>
            <w:r w:rsidRPr="00A739E4">
              <w:rPr>
                <w:rFonts w:ascii="Calibri" w:hAnsi="Calibri"/>
                <w:b/>
                <w:bCs/>
                <w:color w:val="000000"/>
                <w:sz w:val="22"/>
                <w:szCs w:val="22"/>
              </w:rPr>
              <w:t>Annual Debt Service</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w:t>
            </w:r>
            <w:r w:rsidRPr="00A739E4">
              <w:rPr>
                <w:rFonts w:ascii="Calibri" w:hAnsi="Calibri"/>
                <w:b/>
                <w:bCs/>
                <w:color w:val="000000"/>
                <w:sz w:val="22"/>
                <w:szCs w:val="22"/>
              </w:rPr>
              <w:t>7</w:t>
            </w:r>
            <w:r>
              <w:rPr>
                <w:rFonts w:ascii="Calibri" w:hAnsi="Calibri"/>
                <w:b/>
                <w:bCs/>
                <w:color w:val="000000"/>
                <w:sz w:val="22"/>
                <w:szCs w:val="22"/>
              </w:rPr>
              <w:t>3.1</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$76.4</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 xml:space="preserve">      </w:t>
            </w:r>
            <w:r w:rsidRPr="00A739E4">
              <w:rPr>
                <w:rFonts w:ascii="Calibri" w:hAnsi="Calibri"/>
                <w:b/>
                <w:bCs/>
                <w:color w:val="000000"/>
                <w:sz w:val="22"/>
                <w:szCs w:val="22"/>
              </w:rPr>
              <w:t>$</w:t>
            </w:r>
            <w:r>
              <w:rPr>
                <w:rFonts w:ascii="Calibri" w:hAnsi="Calibri"/>
                <w:b/>
                <w:bCs/>
                <w:color w:val="000000"/>
                <w:sz w:val="22"/>
                <w:szCs w:val="22"/>
              </w:rPr>
              <w:t>79.7</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$83.1</w:t>
            </w:r>
            <w:r w:rsidRPr="00A739E4">
              <w:rPr>
                <w:rFonts w:ascii="Calibri" w:hAnsi="Calibri"/>
                <w:b/>
                <w:bCs/>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$86.5</w:t>
            </w:r>
            <w:r w:rsidRPr="00A739E4">
              <w:rPr>
                <w:rFonts w:ascii="Calibri" w:hAnsi="Calibri"/>
                <w:b/>
                <w:bCs/>
                <w:color w:val="000000"/>
                <w:sz w:val="22"/>
                <w:szCs w:val="22"/>
              </w:rPr>
              <w:t xml:space="preserve"> </w:t>
            </w:r>
          </w:p>
        </w:tc>
      </w:tr>
      <w:tr w:rsidR="00ED47E7" w:rsidRPr="00A739E4" w:rsidTr="00792B83">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rsidR="00ED47E7" w:rsidRPr="00A739E4" w:rsidRDefault="00ED47E7" w:rsidP="00792B83">
            <w:pPr>
              <w:spacing w:line="240" w:lineRule="auto"/>
              <w:jc w:val="left"/>
              <w:rPr>
                <w:rFonts w:ascii="Calibri" w:hAnsi="Calibri"/>
                <w:b/>
                <w:bCs/>
                <w:color w:val="000000"/>
                <w:sz w:val="22"/>
                <w:szCs w:val="22"/>
              </w:rPr>
            </w:pPr>
            <w:r w:rsidRPr="00A739E4">
              <w:rPr>
                <w:rFonts w:ascii="Calibri" w:hAnsi="Calibri"/>
                <w:b/>
                <w:bCs/>
                <w:color w:val="000000"/>
                <w:sz w:val="22"/>
                <w:szCs w:val="22"/>
              </w:rPr>
              <w:t xml:space="preserve">Total Debt Service Payments </w:t>
            </w:r>
          </w:p>
        </w:tc>
        <w:tc>
          <w:tcPr>
            <w:tcW w:w="1280" w:type="dxa"/>
            <w:tcBorders>
              <w:top w:val="nil"/>
              <w:left w:val="nil"/>
              <w:bottom w:val="single" w:sz="4" w:space="0" w:color="auto"/>
              <w:right w:val="single" w:sz="4" w:space="0" w:color="auto"/>
            </w:tcBorders>
            <w:shd w:val="clear" w:color="auto" w:fill="auto"/>
            <w:vAlign w:val="center"/>
            <w:hideMark/>
          </w:tcPr>
          <w:p w:rsidR="00ED47E7" w:rsidRPr="00A739E4" w:rsidRDefault="00ED47E7"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$1,462.2</w:t>
            </w:r>
          </w:p>
        </w:tc>
        <w:tc>
          <w:tcPr>
            <w:tcW w:w="1280" w:type="dxa"/>
            <w:tcBorders>
              <w:top w:val="nil"/>
              <w:left w:val="nil"/>
              <w:bottom w:val="single" w:sz="4" w:space="0" w:color="auto"/>
              <w:right w:val="single" w:sz="4" w:space="0" w:color="auto"/>
            </w:tcBorders>
            <w:shd w:val="clear" w:color="auto" w:fill="auto"/>
            <w:vAlign w:val="center"/>
            <w:hideMark/>
          </w:tcPr>
          <w:p w:rsidR="00ED47E7" w:rsidRPr="00A739E4" w:rsidRDefault="00ED47E7"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$1,527.1</w:t>
            </w:r>
          </w:p>
        </w:tc>
        <w:tc>
          <w:tcPr>
            <w:tcW w:w="1280" w:type="dxa"/>
            <w:tcBorders>
              <w:top w:val="nil"/>
              <w:left w:val="nil"/>
              <w:bottom w:val="single" w:sz="4" w:space="0" w:color="auto"/>
              <w:right w:val="single" w:sz="4" w:space="0" w:color="auto"/>
            </w:tcBorders>
            <w:shd w:val="clear" w:color="auto" w:fill="auto"/>
            <w:vAlign w:val="center"/>
            <w:hideMark/>
          </w:tcPr>
          <w:p w:rsidR="00ED47E7" w:rsidRPr="00A739E4" w:rsidRDefault="00ED47E7"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$1,593.4</w:t>
            </w:r>
          </w:p>
        </w:tc>
        <w:tc>
          <w:tcPr>
            <w:tcW w:w="1280" w:type="dxa"/>
            <w:tcBorders>
              <w:top w:val="nil"/>
              <w:left w:val="nil"/>
              <w:bottom w:val="single" w:sz="4" w:space="0" w:color="auto"/>
              <w:right w:val="single" w:sz="4" w:space="0" w:color="auto"/>
            </w:tcBorders>
            <w:shd w:val="clear" w:color="auto" w:fill="auto"/>
            <w:vAlign w:val="center"/>
            <w:hideMark/>
          </w:tcPr>
          <w:p w:rsidR="00ED47E7" w:rsidRPr="00A739E4" w:rsidRDefault="00ED47E7" w:rsidP="00792B83">
            <w:pPr>
              <w:spacing w:line="240" w:lineRule="auto"/>
              <w:jc w:val="center"/>
              <w:rPr>
                <w:rFonts w:ascii="Calibri" w:hAnsi="Calibri"/>
                <w:b/>
                <w:bCs/>
                <w:color w:val="000000"/>
                <w:sz w:val="22"/>
                <w:szCs w:val="22"/>
              </w:rPr>
            </w:pPr>
            <w:r w:rsidRPr="00A739E4">
              <w:rPr>
                <w:rFonts w:ascii="Calibri" w:hAnsi="Calibri"/>
                <w:b/>
                <w:bCs/>
                <w:color w:val="000000"/>
                <w:sz w:val="22"/>
                <w:szCs w:val="22"/>
              </w:rPr>
              <w:t xml:space="preserve"> </w:t>
            </w:r>
            <w:r>
              <w:rPr>
                <w:rFonts w:ascii="Calibri" w:hAnsi="Calibri"/>
                <w:b/>
                <w:bCs/>
                <w:color w:val="000000"/>
                <w:sz w:val="22"/>
                <w:szCs w:val="22"/>
              </w:rPr>
              <w:t>$1,661.3</w:t>
            </w:r>
          </w:p>
        </w:tc>
        <w:tc>
          <w:tcPr>
            <w:tcW w:w="1280" w:type="dxa"/>
            <w:tcBorders>
              <w:top w:val="nil"/>
              <w:left w:val="nil"/>
              <w:bottom w:val="single" w:sz="4" w:space="0" w:color="auto"/>
              <w:right w:val="single" w:sz="4" w:space="0" w:color="auto"/>
            </w:tcBorders>
            <w:shd w:val="clear" w:color="auto" w:fill="auto"/>
            <w:vAlign w:val="center"/>
            <w:hideMark/>
          </w:tcPr>
          <w:p w:rsidR="00ED47E7" w:rsidRPr="00A739E4" w:rsidRDefault="00ED47E7" w:rsidP="00792B83">
            <w:pPr>
              <w:spacing w:line="240" w:lineRule="auto"/>
              <w:jc w:val="center"/>
              <w:rPr>
                <w:rFonts w:ascii="Calibri" w:hAnsi="Calibri"/>
                <w:b/>
                <w:bCs/>
                <w:color w:val="000000"/>
                <w:sz w:val="22"/>
                <w:szCs w:val="22"/>
              </w:rPr>
            </w:pPr>
            <w:r>
              <w:rPr>
                <w:rFonts w:ascii="Calibri" w:hAnsi="Calibri"/>
                <w:b/>
                <w:bCs/>
                <w:color w:val="000000"/>
                <w:sz w:val="22"/>
                <w:szCs w:val="22"/>
              </w:rPr>
              <w:t xml:space="preserve"> $1,730.5</w:t>
            </w:r>
            <w:r w:rsidRPr="00A739E4">
              <w:rPr>
                <w:rFonts w:ascii="Calibri" w:hAnsi="Calibri"/>
                <w:b/>
                <w:bCs/>
                <w:color w:val="000000"/>
                <w:sz w:val="22"/>
                <w:szCs w:val="22"/>
              </w:rPr>
              <w:t xml:space="preserve"> </w:t>
            </w:r>
          </w:p>
        </w:tc>
      </w:tr>
      <w:tr w:rsidR="00ED47E7" w:rsidRPr="00A739E4" w:rsidTr="00792B83">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rsidR="00ED47E7" w:rsidRPr="00A739E4" w:rsidRDefault="006129BB" w:rsidP="00792B83">
            <w:pPr>
              <w:spacing w:line="240" w:lineRule="auto"/>
              <w:jc w:val="left"/>
              <w:rPr>
                <w:rFonts w:ascii="Calibri" w:hAnsi="Calibri"/>
                <w:i/>
                <w:iCs/>
                <w:color w:val="000000"/>
                <w:sz w:val="22"/>
                <w:szCs w:val="22"/>
              </w:rPr>
            </w:pPr>
            <w:r>
              <w:rPr>
                <w:rFonts w:ascii="Calibri" w:hAnsi="Calibri"/>
                <w:i/>
                <w:iCs/>
                <w:color w:val="000000"/>
                <w:sz w:val="22"/>
                <w:szCs w:val="22"/>
              </w:rPr>
              <w:t xml:space="preserve">    </w:t>
            </w:r>
            <w:r w:rsidR="00ED47E7" w:rsidRPr="00A739E4">
              <w:rPr>
                <w:rFonts w:ascii="Calibri" w:hAnsi="Calibri"/>
                <w:i/>
                <w:iCs/>
                <w:color w:val="000000"/>
                <w:sz w:val="22"/>
                <w:szCs w:val="22"/>
              </w:rPr>
              <w:t>A) Total Princi</w:t>
            </w:r>
            <w:r w:rsidR="00ED47E7">
              <w:rPr>
                <w:rFonts w:ascii="Calibri" w:hAnsi="Calibri"/>
                <w:i/>
                <w:iCs/>
                <w:color w:val="000000"/>
                <w:sz w:val="22"/>
                <w:szCs w:val="22"/>
              </w:rPr>
              <w:t>pal</w:t>
            </w:r>
            <w:r w:rsidR="00ED47E7" w:rsidRPr="00A739E4">
              <w:rPr>
                <w:rFonts w:ascii="Calibri" w:hAnsi="Calibri"/>
                <w:i/>
                <w:iCs/>
                <w:color w:val="000000"/>
                <w:sz w:val="22"/>
                <w:szCs w:val="22"/>
              </w:rPr>
              <w:t xml:space="preserve"> Payments</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$1,</w:t>
            </w:r>
            <w:r w:rsidRPr="00A739E4">
              <w:rPr>
                <w:rFonts w:ascii="Calibri" w:hAnsi="Calibri"/>
                <w:color w:val="000000"/>
                <w:sz w:val="22"/>
                <w:szCs w:val="22"/>
              </w:rPr>
              <w:t>000</w:t>
            </w:r>
            <w:r>
              <w:rPr>
                <w:rFonts w:ascii="Calibri" w:hAnsi="Calibri"/>
                <w:color w:val="000000"/>
                <w:sz w:val="22"/>
                <w:szCs w:val="22"/>
              </w:rPr>
              <w:t>.0</w:t>
            </w:r>
          </w:p>
        </w:tc>
      </w:tr>
      <w:tr w:rsidR="00ED47E7" w:rsidRPr="00A739E4" w:rsidTr="00792B83">
        <w:trPr>
          <w:trHeight w:val="300"/>
          <w:jc w:val="center"/>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rsidR="00ED47E7" w:rsidRPr="00A739E4" w:rsidRDefault="006129BB" w:rsidP="00792B83">
            <w:pPr>
              <w:spacing w:line="240" w:lineRule="auto"/>
              <w:jc w:val="left"/>
              <w:rPr>
                <w:rFonts w:ascii="Calibri" w:hAnsi="Calibri"/>
                <w:i/>
                <w:iCs/>
                <w:color w:val="000000"/>
                <w:sz w:val="22"/>
                <w:szCs w:val="22"/>
              </w:rPr>
            </w:pPr>
            <w:r>
              <w:rPr>
                <w:rFonts w:ascii="Calibri" w:hAnsi="Calibri"/>
                <w:i/>
                <w:iCs/>
                <w:color w:val="000000"/>
                <w:sz w:val="22"/>
                <w:szCs w:val="22"/>
              </w:rPr>
              <w:t xml:space="preserve">    </w:t>
            </w:r>
            <w:r w:rsidR="00ED47E7" w:rsidRPr="00A739E4">
              <w:rPr>
                <w:rFonts w:ascii="Calibri" w:hAnsi="Calibri"/>
                <w:i/>
                <w:iCs/>
                <w:color w:val="000000"/>
                <w:sz w:val="22"/>
                <w:szCs w:val="22"/>
              </w:rPr>
              <w:t>B) Total Inter</w:t>
            </w:r>
            <w:r w:rsidR="00ED47E7">
              <w:rPr>
                <w:rFonts w:ascii="Calibri" w:hAnsi="Calibri"/>
                <w:i/>
                <w:iCs/>
                <w:color w:val="000000"/>
                <w:sz w:val="22"/>
                <w:szCs w:val="22"/>
              </w:rPr>
              <w:t>e</w:t>
            </w:r>
            <w:r w:rsidR="00ED47E7" w:rsidRPr="00A739E4">
              <w:rPr>
                <w:rFonts w:ascii="Calibri" w:hAnsi="Calibri"/>
                <w:i/>
                <w:iCs/>
                <w:color w:val="000000"/>
                <w:sz w:val="22"/>
                <w:szCs w:val="22"/>
              </w:rPr>
              <w:t>st Payments</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$462.2</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sidRPr="00A739E4">
              <w:rPr>
                <w:rFonts w:ascii="Calibri" w:hAnsi="Calibri"/>
                <w:color w:val="000000"/>
                <w:sz w:val="22"/>
                <w:szCs w:val="22"/>
              </w:rPr>
              <w:t xml:space="preserve"> </w:t>
            </w:r>
            <w:r>
              <w:rPr>
                <w:rFonts w:ascii="Calibri" w:hAnsi="Calibri"/>
                <w:color w:val="000000"/>
                <w:sz w:val="22"/>
                <w:szCs w:val="22"/>
              </w:rPr>
              <w:t xml:space="preserve">   $527.1</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$593.4</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$661.3</w:t>
            </w:r>
            <w:r w:rsidRPr="00A739E4">
              <w:rPr>
                <w:rFonts w:ascii="Calibri" w:hAnsi="Calibri"/>
                <w:color w:val="00000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ED47E7" w:rsidRPr="00A739E4" w:rsidRDefault="00ED47E7" w:rsidP="00792B83">
            <w:pPr>
              <w:spacing w:line="240" w:lineRule="auto"/>
              <w:jc w:val="center"/>
              <w:rPr>
                <w:rFonts w:ascii="Calibri" w:hAnsi="Calibri"/>
                <w:color w:val="000000"/>
                <w:sz w:val="22"/>
                <w:szCs w:val="22"/>
              </w:rPr>
            </w:pPr>
            <w:r>
              <w:rPr>
                <w:rFonts w:ascii="Calibri" w:hAnsi="Calibri"/>
                <w:color w:val="000000"/>
                <w:sz w:val="22"/>
                <w:szCs w:val="22"/>
              </w:rPr>
              <w:t xml:space="preserve">     $730.5</w:t>
            </w:r>
            <w:r w:rsidRPr="00A739E4">
              <w:rPr>
                <w:rFonts w:ascii="Calibri" w:hAnsi="Calibri"/>
                <w:color w:val="000000"/>
                <w:sz w:val="22"/>
                <w:szCs w:val="22"/>
              </w:rPr>
              <w:t xml:space="preserve"> </w:t>
            </w:r>
          </w:p>
        </w:tc>
      </w:tr>
    </w:tbl>
    <w:p w:rsidR="00ED47E7" w:rsidRDefault="00ED47E7" w:rsidP="00ED47E7">
      <w:pPr>
        <w:tabs>
          <w:tab w:val="left" w:pos="360"/>
          <w:tab w:val="left" w:pos="720"/>
          <w:tab w:val="left" w:pos="1440"/>
          <w:tab w:val="left" w:pos="2160"/>
          <w:tab w:val="left" w:pos="2880"/>
          <w:tab w:val="left" w:pos="3600"/>
          <w:tab w:val="left" w:pos="4320"/>
          <w:tab w:val="left" w:pos="5040"/>
        </w:tabs>
        <w:jc w:val="center"/>
      </w:pPr>
    </w:p>
    <w:p w:rsidR="00ED47E7" w:rsidRDefault="00ED47E7" w:rsidP="00ED47E7">
      <w:pPr>
        <w:tabs>
          <w:tab w:val="left" w:pos="360"/>
          <w:tab w:val="left" w:pos="720"/>
          <w:tab w:val="left" w:pos="1440"/>
          <w:tab w:val="left" w:pos="2160"/>
          <w:tab w:val="left" w:pos="2880"/>
          <w:tab w:val="left" w:pos="3600"/>
          <w:tab w:val="left" w:pos="4320"/>
          <w:tab w:val="left" w:pos="5040"/>
        </w:tabs>
      </w:pPr>
      <w:r>
        <w:lastRenderedPageBreak/>
        <w:tab/>
        <w:t xml:space="preserve">Accordingly, the OLS calculates that for each $1 billion borrowed the </w:t>
      </w:r>
      <w:r w:rsidRPr="004F6E5A">
        <w:t>State</w:t>
      </w:r>
      <w:r>
        <w:t xml:space="preserve"> might incur total debt service costs ranging from $1.5 billion to $1.7 billion spread over 20 years, which includes total interest payments ranging from $462.2 million to $730.5 million (46.2 percent to 73.1 percent of the $1 billion borrowed).  The lower bound represents a 4.0 percent annual interest rate and the upper bound a 6.0 percent annual interest rate.  If the assumptions hold, annual debt service payments </w:t>
      </w:r>
      <w:r w:rsidR="00767D64">
        <w:t xml:space="preserve">for each $1 billion borrowed </w:t>
      </w:r>
      <w:r>
        <w:t>could be as low as $73.1 million at a 4.0 percent interest rate and as high as $86.5 million at a 6.0 percent interest rate.  The OLS further notes that total debt service would be lower if bonds were issued for a shorter term and all other assumptions remained the same, and the converse.</w:t>
      </w:r>
    </w:p>
    <w:p w:rsidR="00ED47E7" w:rsidRDefault="00ED47E7" w:rsidP="00ED47E7">
      <w:pPr>
        <w:tabs>
          <w:tab w:val="left" w:pos="360"/>
          <w:tab w:val="left" w:pos="720"/>
          <w:tab w:val="left" w:pos="1440"/>
          <w:tab w:val="left" w:pos="2160"/>
          <w:tab w:val="left" w:pos="2880"/>
          <w:tab w:val="left" w:pos="3600"/>
          <w:tab w:val="left" w:pos="4320"/>
          <w:tab w:val="left" w:pos="5040"/>
        </w:tabs>
      </w:pPr>
      <w:r>
        <w:tab/>
      </w:r>
      <w:r w:rsidRPr="007859EE">
        <w:rPr>
          <w:i/>
          <w:iCs/>
          <w:u w:val="single"/>
        </w:rPr>
        <w:t>Federal Borrowing:</w:t>
      </w:r>
      <w:r>
        <w:t xml:space="preserve">  The </w:t>
      </w:r>
      <w:r w:rsidR="00072FA1">
        <w:t xml:space="preserve">up to $9.9 billion in </w:t>
      </w:r>
      <w:r w:rsidR="00CB66D6">
        <w:t>authorized</w:t>
      </w:r>
      <w:r w:rsidR="00072FA1">
        <w:t xml:space="preserve"> State indebtedness may be borrowed</w:t>
      </w:r>
      <w:r>
        <w:t xml:space="preserve"> from the federal government on such terms as the federal gove</w:t>
      </w:r>
      <w:r w:rsidR="00072FA1">
        <w:t>rnment stipulates</w:t>
      </w:r>
      <w:r>
        <w:t xml:space="preserve">.  Currently, one </w:t>
      </w:r>
      <w:r w:rsidR="00442C3A">
        <w:t>pertinent</w:t>
      </w:r>
      <w:r>
        <w:t xml:space="preserve"> federal program is available.  </w:t>
      </w:r>
    </w:p>
    <w:p w:rsidR="00ED47E7" w:rsidRDefault="00ED47E7" w:rsidP="00ED47E7">
      <w:pPr>
        <w:tabs>
          <w:tab w:val="left" w:pos="360"/>
          <w:tab w:val="left" w:pos="720"/>
          <w:tab w:val="left" w:pos="1440"/>
          <w:tab w:val="left" w:pos="2160"/>
          <w:tab w:val="left" w:pos="2880"/>
          <w:tab w:val="left" w:pos="3600"/>
          <w:tab w:val="left" w:pos="4320"/>
          <w:tab w:val="left" w:pos="5040"/>
        </w:tabs>
      </w:pPr>
      <w:r>
        <w:tab/>
        <w:t xml:space="preserve">Under the Municipal Liquidity Facility, the Federal Reserve Bank of New York will purchase up to $9.25 billion of eligible short-term notes with a </w:t>
      </w:r>
      <w:r w:rsidR="00072FA1">
        <w:t>payback</w:t>
      </w:r>
      <w:r>
        <w:t xml:space="preserve"> period not to exceed 36 months directly from the State of New Jersey at the time of issuance, if </w:t>
      </w:r>
      <w:r w:rsidR="00573E98">
        <w:t xml:space="preserve">so </w:t>
      </w:r>
      <w:r>
        <w:t xml:space="preserve">requested by the State.  The State may use the proceeds to </w:t>
      </w:r>
      <w:r w:rsidRPr="003E5263">
        <w:t xml:space="preserve">manage </w:t>
      </w:r>
      <w:r>
        <w:t>its</w:t>
      </w:r>
      <w:r w:rsidRPr="003E5263">
        <w:t xml:space="preserve"> cash flow pressures result</w:t>
      </w:r>
      <w:r>
        <w:t xml:space="preserve">ing </w:t>
      </w:r>
      <w:r w:rsidRPr="003E5263">
        <w:t>f</w:t>
      </w:r>
      <w:r>
        <w:t>rom</w:t>
      </w:r>
      <w:r w:rsidRPr="003E5263">
        <w:t xml:space="preserve"> </w:t>
      </w:r>
      <w:r>
        <w:t xml:space="preserve">the </w:t>
      </w:r>
      <w:r w:rsidRPr="003E5263">
        <w:t>COVID-19 pandemic</w:t>
      </w:r>
      <w:r w:rsidR="00EB69B5">
        <w:t xml:space="preserve"> and</w:t>
      </w:r>
      <w:r>
        <w:t xml:space="preserve"> to pay the origination fee equal to 0.1 pe</w:t>
      </w:r>
      <w:r w:rsidR="00F661FB">
        <w:t xml:space="preserve">rcent of the </w:t>
      </w:r>
      <w:proofErr w:type="spellStart"/>
      <w:r w:rsidR="00F661FB">
        <w:t>par amount</w:t>
      </w:r>
      <w:proofErr w:type="spellEnd"/>
      <w:r w:rsidR="00F661FB">
        <w:t xml:space="preserve"> issued.</w:t>
      </w:r>
    </w:p>
    <w:p w:rsidR="00ED47E7" w:rsidRDefault="00ED47E7" w:rsidP="00ED47E7">
      <w:pPr>
        <w:tabs>
          <w:tab w:val="left" w:pos="360"/>
          <w:tab w:val="left" w:pos="720"/>
          <w:tab w:val="left" w:pos="1440"/>
          <w:tab w:val="left" w:pos="2160"/>
          <w:tab w:val="left" w:pos="2880"/>
          <w:tab w:val="left" w:pos="3600"/>
          <w:tab w:val="left" w:pos="4320"/>
          <w:tab w:val="left" w:pos="5040"/>
        </w:tabs>
      </w:pPr>
      <w:r>
        <w:tab/>
        <w:t xml:space="preserve">Interest rates would vary depending on the term of the short-term notes.  </w:t>
      </w:r>
      <w:r w:rsidR="00573E98">
        <w:t>A</w:t>
      </w:r>
      <w:r w:rsidR="00E41077">
        <w:t xml:space="preserve">ccording to the </w:t>
      </w:r>
      <w:r w:rsidR="00E41077" w:rsidRPr="00E41077">
        <w:t xml:space="preserve">Municipal Liquidity Facility </w:t>
      </w:r>
      <w:r w:rsidR="00E41077">
        <w:t xml:space="preserve">sample purchase rates published by the Federal Reserve Bank of New York on July 13, 2020, </w:t>
      </w:r>
      <w:r>
        <w:t xml:space="preserve">New Jersey could </w:t>
      </w:r>
      <w:r w:rsidR="00573E98">
        <w:t xml:space="preserve">currently </w:t>
      </w:r>
      <w:r>
        <w:t>expect an interest rate of just under three percent for three-year notes.  For the issuance of $1 billion in three-year notes at an interest rate of three percent with interest-only payments every six months and the $1 billion repaid in full at maturity, the State would owe $30 million in interest per year, and $90 million in total interest over the three-year term of the borrowing.</w:t>
      </w:r>
      <w:r w:rsidR="00B77047">
        <w:t xml:space="preserve">  </w:t>
      </w:r>
      <w:r w:rsidR="00D34795">
        <w:t xml:space="preserve">Interest payment liabilities would continue to accrue if the State </w:t>
      </w:r>
      <w:r w:rsidR="00CB66D6">
        <w:t>were to refund</w:t>
      </w:r>
      <w:r w:rsidR="00D34795">
        <w:t xml:space="preserve"> the notes before they mature. </w:t>
      </w:r>
    </w:p>
    <w:p w:rsidR="00ED47E7" w:rsidRDefault="00ED47E7" w:rsidP="00ED47E7">
      <w:pPr>
        <w:tabs>
          <w:tab w:val="left" w:pos="360"/>
          <w:tab w:val="left" w:pos="720"/>
          <w:tab w:val="left" w:pos="1440"/>
          <w:tab w:val="left" w:pos="2160"/>
          <w:tab w:val="left" w:pos="2880"/>
          <w:tab w:val="left" w:pos="3600"/>
          <w:tab w:val="left" w:pos="4320"/>
          <w:tab w:val="left" w:pos="5040"/>
        </w:tabs>
      </w:pPr>
    </w:p>
    <w:p w:rsidR="00ED47E7" w:rsidRDefault="003D5190" w:rsidP="00ED47E7">
      <w:pPr>
        <w:tabs>
          <w:tab w:val="left" w:pos="360"/>
          <w:tab w:val="left" w:pos="720"/>
          <w:tab w:val="left" w:pos="1440"/>
          <w:tab w:val="left" w:pos="2160"/>
          <w:tab w:val="left" w:pos="2880"/>
          <w:tab w:val="left" w:pos="3600"/>
          <w:tab w:val="left" w:pos="4320"/>
          <w:tab w:val="left" w:pos="5040"/>
        </w:tabs>
      </w:pPr>
      <w:r>
        <w:rPr>
          <w:b/>
          <w:bCs/>
          <w:u w:val="single"/>
        </w:rPr>
        <w:t>State Revenue Increase</w:t>
      </w:r>
      <w:r w:rsidR="00ED47E7" w:rsidRPr="00432FAE">
        <w:rPr>
          <w:b/>
          <w:bCs/>
          <w:u w:val="single"/>
        </w:rPr>
        <w:t>:</w:t>
      </w:r>
      <w:r w:rsidR="00ED47E7">
        <w:t xml:space="preserve">  An indeterminate annual State revenue increase would occur over several years from interest earned on unexpended borrowed funds.  Insufficient information precludes the OLS from quantifying the</w:t>
      </w:r>
      <w:r>
        <w:t xml:space="preserve"> revenue gain</w:t>
      </w:r>
      <w:r w:rsidR="00ED47E7">
        <w:t xml:space="preserve">, as </w:t>
      </w:r>
      <w:r>
        <w:t>it</w:t>
      </w:r>
      <w:r w:rsidR="00573E98">
        <w:t>s magnitude</w:t>
      </w:r>
      <w:r w:rsidR="00ED47E7">
        <w:t xml:space="preserve"> </w:t>
      </w:r>
      <w:r w:rsidR="00573E98">
        <w:t>depends</w:t>
      </w:r>
      <w:r w:rsidR="00ED47E7">
        <w:t xml:space="preserve"> on future Executive determinations as to the promptness of </w:t>
      </w:r>
      <w:r w:rsidR="00A53F79">
        <w:t>bond fund</w:t>
      </w:r>
      <w:r w:rsidR="00ED47E7">
        <w:t xml:space="preserve"> disbursement</w:t>
      </w:r>
      <w:r w:rsidR="00A53F79">
        <w:t>s</w:t>
      </w:r>
      <w:r w:rsidR="00ED47E7">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97376" w:rsidP="00EF17BC">
            <w:pPr>
              <w:pStyle w:val="10pointItalics"/>
              <w:rPr>
                <w:sz w:val="24"/>
              </w:rPr>
            </w:pPr>
            <w:r>
              <w:t>Legislative Budget and Finance Office</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F97376" w:rsidRDefault="00F97376" w:rsidP="00F97376">
            <w:pPr>
              <w:pStyle w:val="10pointItalics"/>
            </w:pPr>
            <w:bookmarkStart w:id="2" w:name="UserFullName"/>
            <w:bookmarkEnd w:id="2"/>
            <w:r>
              <w:t>Thomas Koenig</w:t>
            </w:r>
          </w:p>
          <w:p w:rsidR="00EF17BC" w:rsidRDefault="00F97376" w:rsidP="00F97376">
            <w:pPr>
              <w:pStyle w:val="10pointItalics"/>
              <w:rPr>
                <w:sz w:val="24"/>
              </w:rPr>
            </w:pPr>
            <w:r>
              <w:t>Assistant Legislative Budget and Finance Officer</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B35CCE" w:rsidRDefault="00B35CC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84D2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A5C" w:rsidRDefault="00A01A5C">
      <w:r>
        <w:separator/>
      </w:r>
    </w:p>
  </w:endnote>
  <w:endnote w:type="continuationSeparator" w:id="0">
    <w:p w:rsidR="00A01A5C" w:rsidRDefault="00A01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r>
            <w:t>Trenton, New Jersey</w:t>
          </w:r>
          <w:r w:rsidR="009E66AF">
            <w:t xml:space="preserve"> </w:t>
          </w:r>
          <w:r>
            <w:t>08625</w:t>
          </w:r>
        </w:p>
      </w:tc>
      <w:tc>
        <w:tcPr>
          <w:tcW w:w="2856" w:type="dxa"/>
          <w:tcBorders>
            <w:top w:val="single" w:sz="12" w:space="0" w:color="auto"/>
          </w:tcBorders>
          <w:tcMar>
            <w:top w:w="29" w:type="dxa"/>
            <w:left w:w="115" w:type="dxa"/>
            <w:right w:w="115" w:type="dxa"/>
          </w:tcMar>
        </w:tcPr>
        <w:p w:rsidR="00E042C5" w:rsidRDefault="00A50D0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68464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A5C" w:rsidRDefault="00A01A5C">
      <w:r>
        <w:separator/>
      </w:r>
    </w:p>
  </w:footnote>
  <w:footnote w:type="continuationSeparator" w:id="0">
    <w:p w:rsidR="00A01A5C" w:rsidRDefault="00A01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D2A" w:rsidRDefault="00884D2A" w:rsidP="00884D2A">
    <w:pPr>
      <w:pStyle w:val="Header"/>
      <w:jc w:val="center"/>
    </w:pPr>
    <w:r>
      <w:t>F</w:t>
    </w:r>
    <w:r w:rsidR="00C378E1">
      <w:t>E to A</w:t>
    </w:r>
    <w:r w:rsidR="00893A8F">
      <w:t>4</w:t>
    </w:r>
    <w:r>
      <w:t>1</w:t>
    </w:r>
    <w:r w:rsidR="00C378E1">
      <w:t>7</w:t>
    </w:r>
    <w:r>
      <w:t>5 [1R]</w:t>
    </w:r>
  </w:p>
  <w:p w:rsidR="00884D2A" w:rsidRDefault="00884D2A" w:rsidP="00884D2A">
    <w:pPr>
      <w:pStyle w:val="Header"/>
      <w:jc w:val="center"/>
    </w:pPr>
    <w:r>
      <w:fldChar w:fldCharType="begin"/>
    </w:r>
    <w:r>
      <w:instrText xml:space="preserve"> PAGE  \* MERGEFORMAT </w:instrText>
    </w:r>
    <w:r>
      <w:fldChar w:fldCharType="separate"/>
    </w:r>
    <w:r w:rsidR="00A50D09">
      <w:rPr>
        <w:noProof/>
      </w:rPr>
      <w:t>3</w:t>
    </w:r>
    <w:r>
      <w:fldChar w:fldCharType="end"/>
    </w:r>
  </w:p>
  <w:p w:rsidR="00884D2A" w:rsidRDefault="00884D2A" w:rsidP="00884D2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D2A"/>
    <w:rsid w:val="00011EDD"/>
    <w:rsid w:val="00013973"/>
    <w:rsid w:val="000333DF"/>
    <w:rsid w:val="00036860"/>
    <w:rsid w:val="00037A48"/>
    <w:rsid w:val="00042B0B"/>
    <w:rsid w:val="00054D08"/>
    <w:rsid w:val="000629F9"/>
    <w:rsid w:val="000701B0"/>
    <w:rsid w:val="00070F62"/>
    <w:rsid w:val="00072FA1"/>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7F4"/>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039D"/>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5190"/>
    <w:rsid w:val="00407C9E"/>
    <w:rsid w:val="0041022E"/>
    <w:rsid w:val="004149CC"/>
    <w:rsid w:val="00414ED2"/>
    <w:rsid w:val="00432251"/>
    <w:rsid w:val="00442372"/>
    <w:rsid w:val="00442C3A"/>
    <w:rsid w:val="00464863"/>
    <w:rsid w:val="00485323"/>
    <w:rsid w:val="00487ED8"/>
    <w:rsid w:val="004911CB"/>
    <w:rsid w:val="00491918"/>
    <w:rsid w:val="004A10CD"/>
    <w:rsid w:val="004A2E7F"/>
    <w:rsid w:val="004A5A65"/>
    <w:rsid w:val="004B1485"/>
    <w:rsid w:val="004B2CF2"/>
    <w:rsid w:val="004C6ECA"/>
    <w:rsid w:val="004D6C2C"/>
    <w:rsid w:val="004D7D86"/>
    <w:rsid w:val="004E1959"/>
    <w:rsid w:val="004E6202"/>
    <w:rsid w:val="004F1874"/>
    <w:rsid w:val="004F2034"/>
    <w:rsid w:val="004F585C"/>
    <w:rsid w:val="004F7F49"/>
    <w:rsid w:val="005046A9"/>
    <w:rsid w:val="00510A23"/>
    <w:rsid w:val="0051514A"/>
    <w:rsid w:val="00515AC5"/>
    <w:rsid w:val="00520DC2"/>
    <w:rsid w:val="00536F40"/>
    <w:rsid w:val="00542978"/>
    <w:rsid w:val="005470F3"/>
    <w:rsid w:val="00570997"/>
    <w:rsid w:val="00573E98"/>
    <w:rsid w:val="00577AA8"/>
    <w:rsid w:val="005850CE"/>
    <w:rsid w:val="00586DF7"/>
    <w:rsid w:val="005A6D23"/>
    <w:rsid w:val="005C1947"/>
    <w:rsid w:val="005C1E9D"/>
    <w:rsid w:val="005E03E7"/>
    <w:rsid w:val="005E75AB"/>
    <w:rsid w:val="00601F73"/>
    <w:rsid w:val="006129BB"/>
    <w:rsid w:val="00625D15"/>
    <w:rsid w:val="00651611"/>
    <w:rsid w:val="00653AE2"/>
    <w:rsid w:val="006618E8"/>
    <w:rsid w:val="006671C7"/>
    <w:rsid w:val="00691557"/>
    <w:rsid w:val="006917CF"/>
    <w:rsid w:val="00692BD4"/>
    <w:rsid w:val="006B22F3"/>
    <w:rsid w:val="006B2FD5"/>
    <w:rsid w:val="006B5C2D"/>
    <w:rsid w:val="006B6C16"/>
    <w:rsid w:val="006C438E"/>
    <w:rsid w:val="006D6F6C"/>
    <w:rsid w:val="006F239A"/>
    <w:rsid w:val="006F505D"/>
    <w:rsid w:val="006F7203"/>
    <w:rsid w:val="00722AEF"/>
    <w:rsid w:val="00727D51"/>
    <w:rsid w:val="00737A6C"/>
    <w:rsid w:val="00743F01"/>
    <w:rsid w:val="00744AE4"/>
    <w:rsid w:val="007608B7"/>
    <w:rsid w:val="00763D60"/>
    <w:rsid w:val="00767D64"/>
    <w:rsid w:val="007833B1"/>
    <w:rsid w:val="007920AC"/>
    <w:rsid w:val="00793C38"/>
    <w:rsid w:val="007A0F7E"/>
    <w:rsid w:val="007A42C5"/>
    <w:rsid w:val="007A65A1"/>
    <w:rsid w:val="007B1FCF"/>
    <w:rsid w:val="007C4620"/>
    <w:rsid w:val="007E337B"/>
    <w:rsid w:val="007E5EB3"/>
    <w:rsid w:val="00804E41"/>
    <w:rsid w:val="00811BC0"/>
    <w:rsid w:val="008231E8"/>
    <w:rsid w:val="008266B7"/>
    <w:rsid w:val="00854B89"/>
    <w:rsid w:val="00855555"/>
    <w:rsid w:val="00872497"/>
    <w:rsid w:val="00881EF3"/>
    <w:rsid w:val="00883E7C"/>
    <w:rsid w:val="00884D2A"/>
    <w:rsid w:val="00886261"/>
    <w:rsid w:val="00892E89"/>
    <w:rsid w:val="00893A8F"/>
    <w:rsid w:val="00894971"/>
    <w:rsid w:val="00895CD7"/>
    <w:rsid w:val="008C0341"/>
    <w:rsid w:val="008D2E29"/>
    <w:rsid w:val="008D5731"/>
    <w:rsid w:val="008E1349"/>
    <w:rsid w:val="008F7783"/>
    <w:rsid w:val="0092797D"/>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E66AF"/>
    <w:rsid w:val="009F34CE"/>
    <w:rsid w:val="00A01A5C"/>
    <w:rsid w:val="00A05A06"/>
    <w:rsid w:val="00A164F2"/>
    <w:rsid w:val="00A20A78"/>
    <w:rsid w:val="00A26FCF"/>
    <w:rsid w:val="00A31FA5"/>
    <w:rsid w:val="00A34F8C"/>
    <w:rsid w:val="00A359DA"/>
    <w:rsid w:val="00A37886"/>
    <w:rsid w:val="00A50D09"/>
    <w:rsid w:val="00A53F79"/>
    <w:rsid w:val="00A63176"/>
    <w:rsid w:val="00A67192"/>
    <w:rsid w:val="00A70D0C"/>
    <w:rsid w:val="00A91038"/>
    <w:rsid w:val="00A915E5"/>
    <w:rsid w:val="00A9794C"/>
    <w:rsid w:val="00AB0440"/>
    <w:rsid w:val="00AB6AC8"/>
    <w:rsid w:val="00AC3FC5"/>
    <w:rsid w:val="00AD340B"/>
    <w:rsid w:val="00AE3966"/>
    <w:rsid w:val="00AF11C6"/>
    <w:rsid w:val="00B002D1"/>
    <w:rsid w:val="00B057F1"/>
    <w:rsid w:val="00B143A9"/>
    <w:rsid w:val="00B35CCE"/>
    <w:rsid w:val="00B4569E"/>
    <w:rsid w:val="00B45879"/>
    <w:rsid w:val="00B551EB"/>
    <w:rsid w:val="00B55F3D"/>
    <w:rsid w:val="00B77047"/>
    <w:rsid w:val="00B84AC8"/>
    <w:rsid w:val="00B90F8C"/>
    <w:rsid w:val="00B91C0B"/>
    <w:rsid w:val="00B97E24"/>
    <w:rsid w:val="00BA0BE6"/>
    <w:rsid w:val="00BA0C29"/>
    <w:rsid w:val="00BA2122"/>
    <w:rsid w:val="00BA2F3A"/>
    <w:rsid w:val="00BF47F9"/>
    <w:rsid w:val="00C07688"/>
    <w:rsid w:val="00C260AB"/>
    <w:rsid w:val="00C32933"/>
    <w:rsid w:val="00C3314D"/>
    <w:rsid w:val="00C3445A"/>
    <w:rsid w:val="00C378E1"/>
    <w:rsid w:val="00C508B2"/>
    <w:rsid w:val="00C75246"/>
    <w:rsid w:val="00C80B0B"/>
    <w:rsid w:val="00C91EDF"/>
    <w:rsid w:val="00C97447"/>
    <w:rsid w:val="00CB66D6"/>
    <w:rsid w:val="00CC6622"/>
    <w:rsid w:val="00CE3DB7"/>
    <w:rsid w:val="00D20F5D"/>
    <w:rsid w:val="00D34795"/>
    <w:rsid w:val="00D34D5D"/>
    <w:rsid w:val="00D376ED"/>
    <w:rsid w:val="00D40E4F"/>
    <w:rsid w:val="00D579DA"/>
    <w:rsid w:val="00D638D0"/>
    <w:rsid w:val="00D67A0A"/>
    <w:rsid w:val="00D734B9"/>
    <w:rsid w:val="00D762A6"/>
    <w:rsid w:val="00D762BF"/>
    <w:rsid w:val="00D84564"/>
    <w:rsid w:val="00D91891"/>
    <w:rsid w:val="00D958CF"/>
    <w:rsid w:val="00D968A7"/>
    <w:rsid w:val="00DC2149"/>
    <w:rsid w:val="00DC355C"/>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077"/>
    <w:rsid w:val="00E51E95"/>
    <w:rsid w:val="00E5461B"/>
    <w:rsid w:val="00E708C9"/>
    <w:rsid w:val="00E74E35"/>
    <w:rsid w:val="00E75B93"/>
    <w:rsid w:val="00E80BC5"/>
    <w:rsid w:val="00E86D2A"/>
    <w:rsid w:val="00E9123C"/>
    <w:rsid w:val="00E95800"/>
    <w:rsid w:val="00EB1C90"/>
    <w:rsid w:val="00EB69B5"/>
    <w:rsid w:val="00EC1EF8"/>
    <w:rsid w:val="00EC2547"/>
    <w:rsid w:val="00EC4079"/>
    <w:rsid w:val="00ED47E7"/>
    <w:rsid w:val="00EE7D05"/>
    <w:rsid w:val="00EF17BC"/>
    <w:rsid w:val="00EF3B9C"/>
    <w:rsid w:val="00F04CAD"/>
    <w:rsid w:val="00F11982"/>
    <w:rsid w:val="00F2634D"/>
    <w:rsid w:val="00F26FD3"/>
    <w:rsid w:val="00F332CE"/>
    <w:rsid w:val="00F35009"/>
    <w:rsid w:val="00F4083E"/>
    <w:rsid w:val="00F45BA7"/>
    <w:rsid w:val="00F51DD4"/>
    <w:rsid w:val="00F52BC9"/>
    <w:rsid w:val="00F64D56"/>
    <w:rsid w:val="00F661FB"/>
    <w:rsid w:val="00F73621"/>
    <w:rsid w:val="00F82B11"/>
    <w:rsid w:val="00F873F0"/>
    <w:rsid w:val="00F97376"/>
    <w:rsid w:val="00FA6D2B"/>
    <w:rsid w:val="00FB15DB"/>
    <w:rsid w:val="00FB4C1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5:docId w15:val="{C6C894D2-9D20-43E7-9DEA-D23C6AC33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542978"/>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5046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46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1167</Words>
  <Characters>6252</Characters>
  <Application>Microsoft Office Word</Application>
  <DocSecurity>0</DocSecurity>
  <Lines>165</Lines>
  <Paragraphs>77</Paragraphs>
  <ScaleCrop>false</ScaleCrop>
  <HeadingPairs>
    <vt:vector size="2" baseType="variant">
      <vt:variant>
        <vt:lpstr>Title</vt:lpstr>
      </vt:variant>
      <vt:variant>
        <vt:i4>1</vt:i4>
      </vt:variant>
    </vt:vector>
  </HeadingPairs>
  <TitlesOfParts>
    <vt:vector size="1" baseType="lpstr">
      <vt:lpstr>A4175 [1R]  FISCAL ESTIMATE</vt:lpstr>
    </vt:vector>
  </TitlesOfParts>
  <Manager>Thomas Koenig;R211</Manager>
  <Company>Office of Legislative Services</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A4175 1R  FISCAL ESTIMATE</dc:title>
  <dc:creator>Assemblywoman PINTOR MARIN Assemblyman McKEON</dc:creator>
  <cp:keywords>A4175|3|RF |221|0|0|!||</cp:keywords>
  <dc:description>sent to sponsor 7/15 BPU 7/21/20</dc:description>
  <cp:lastModifiedBy>Sommers, Shelly</cp:lastModifiedBy>
  <cp:revision>2</cp:revision>
  <cp:lastPrinted>2020-07-13T19:53:00Z</cp:lastPrinted>
  <dcterms:created xsi:type="dcterms:W3CDTF">2020-07-21T18:20:00Z</dcterms:created>
  <dcterms:modified xsi:type="dcterms:W3CDTF">2020-07-21T18:20:00Z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