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81D58"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981D58" w:rsidRPr="00981D58" w:rsidRDefault="00981D58" w:rsidP="00292D7C">
      <w:pPr>
        <w:pStyle w:val="TopofPage1"/>
        <w:rPr>
          <w:sz w:val="24"/>
        </w:rPr>
      </w:pPr>
    </w:p>
    <w:p w:rsidR="00292D7C" w:rsidRDefault="00981D58" w:rsidP="00ED5E27">
      <w:pPr>
        <w:pStyle w:val="TopofPage1"/>
        <w:rPr>
          <w:szCs w:val="24"/>
        </w:rPr>
      </w:pPr>
      <w:r>
        <w:rPr>
          <w:szCs w:val="24"/>
        </w:rPr>
        <w:t>[Second Reprint]</w:t>
      </w:r>
    </w:p>
    <w:p w:rsidR="00981D58" w:rsidRPr="00981D58" w:rsidRDefault="00981D58" w:rsidP="00ED5E27">
      <w:pPr>
        <w:pStyle w:val="TopofPage1"/>
        <w:rPr>
          <w:szCs w:val="24"/>
        </w:rPr>
      </w:pPr>
      <w:r>
        <w:rPr>
          <w:szCs w:val="24"/>
        </w:rPr>
        <w:t>ASSEMBLY COMMITTEE SUBSTITUTE FOR</w:t>
      </w:r>
    </w:p>
    <w:p w:rsidR="00AA5E23" w:rsidRDefault="00981D5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4253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716CE2" w:rsidRDefault="00D33775" w:rsidP="00716CE2">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81D58">
        <w:rPr>
          <w:caps/>
          <w:szCs w:val="24"/>
        </w:rPr>
        <w:t>FEBRUARY 11, 2021</w:t>
      </w:r>
    </w:p>
    <w:p w:rsidR="00655CA3" w:rsidRDefault="00655CA3" w:rsidP="0083060A"/>
    <w:p w:rsidR="00311042" w:rsidRDefault="003F2687" w:rsidP="00311042">
      <w:r>
        <w:tab/>
      </w:r>
      <w:r w:rsidR="00311042" w:rsidRPr="007369EA">
        <w:t xml:space="preserve">The Senate Budget and Appropriations Committee reports favorably </w:t>
      </w:r>
      <w:r w:rsidR="00716CE2">
        <w:t xml:space="preserve">the Assembly Committee Substitute for Assembly Bill </w:t>
      </w:r>
      <w:r w:rsidR="00311042">
        <w:t>No. 4253</w:t>
      </w:r>
      <w:r w:rsidR="00DB1069">
        <w:t xml:space="preserve"> </w:t>
      </w:r>
      <w:r w:rsidR="00716CE2">
        <w:t>(</w:t>
      </w:r>
      <w:r w:rsidR="00311042">
        <w:t>2R).</w:t>
      </w:r>
    </w:p>
    <w:p w:rsidR="00311042" w:rsidRDefault="00311042" w:rsidP="00311042">
      <w:r>
        <w:tab/>
        <w:t>Under the amended committee substitute, a clinical laboratory is to electronically record the race, ethnicity, sexual orientation, and gender identity of each patient who presents with a non-electronic order for testing at a clinical laboratory patient service center.  If a clinical laboratory processes a specimen without the presence of a patient, the clinical laboratory shall not be responsible for recording and reporting the patient’s gender identity, sexual orientation, and racial and ethnic information.</w:t>
      </w:r>
    </w:p>
    <w:p w:rsidR="00311042" w:rsidRDefault="00311042" w:rsidP="00311042">
      <w:r>
        <w:tab/>
        <w:t xml:space="preserve">Race and ethnicity selections are to include, but are not to be limited to:  African American, Alaska Native, American Indian, Asian, Black, Hispanic, Latino, more than one race, Native Hawaiian, Other Pacific Islander, White, and does not wish to disclose.  Sexual orientation selections are to include, but are not to be limited to: </w:t>
      </w:r>
      <w:r w:rsidRPr="00881442">
        <w:t xml:space="preserve"> </w:t>
      </w:r>
      <w:r>
        <w:t>bisexual</w:t>
      </w:r>
      <w:r w:rsidRPr="00881442">
        <w:t>,</w:t>
      </w:r>
      <w:r>
        <w:t xml:space="preserve"> do not know,</w:t>
      </w:r>
      <w:r w:rsidRPr="00881442">
        <w:t xml:space="preserve"> heterosexual, homosexual, gay, lesbian, </w:t>
      </w:r>
      <w:r>
        <w:t>something else</w:t>
      </w:r>
      <w:r w:rsidRPr="00881442">
        <w:t>, s</w:t>
      </w:r>
      <w:r>
        <w:t>traight</w:t>
      </w:r>
      <w:r w:rsidRPr="00881442">
        <w:t>, and does not wish to disclose.  Gender identity selections are to include, but are not to be limited to: male, female, transgender-female, transgender-male, non-binary,</w:t>
      </w:r>
      <w:r w:rsidRPr="00881442">
        <w:rPr>
          <w:rFonts w:ascii="Albertus Extra Bold" w:hAnsi="Albertus Extra Bold"/>
          <w:b/>
          <w:spacing w:val="4"/>
          <w:vertAlign w:val="superscript"/>
        </w:rPr>
        <w:t xml:space="preserve"> </w:t>
      </w:r>
      <w:r w:rsidRPr="00881442">
        <w:t xml:space="preserve">other, and does not wish to disclose. </w:t>
      </w:r>
    </w:p>
    <w:p w:rsidR="00311042" w:rsidRDefault="00311042" w:rsidP="00311042">
      <w:r>
        <w:tab/>
        <w:t xml:space="preserve">Any health care related data that is required under State law to be reported by a clinical laboratory to a local or State governmental entity is to include any corresponding gender identity, sexual orientation, and racial and ethnic data recorded pursuant to the bill’s provisions, and is to be incorporated into the corresponding disease surveillance reporting system of the local or State governmental entity. </w:t>
      </w:r>
    </w:p>
    <w:p w:rsidR="00311042" w:rsidRDefault="00311042" w:rsidP="00311042">
      <w:r>
        <w:tab/>
        <w:t>Under the bill, a non-electronic specimen collection and analysis requisition form distributed by a clinical laboratory is to contain a section for the manual entry of the patient’s racial, ethnic, sexual orientation, and gender identity information on the form.  A clinical laboratory that fails to comply with the provisions of this section is to be liable to a penalty in accordance with the provisions of sections 13 and 14 of P.L.1971, c.136 (C.26:2H-13 and C.26:2H-14).</w:t>
      </w:r>
    </w:p>
    <w:p w:rsidR="00311042" w:rsidRDefault="00311042" w:rsidP="00311042">
      <w:r>
        <w:lastRenderedPageBreak/>
        <w:tab/>
        <w:t xml:space="preserve">Any electronic medical records or laboratory information management systems used in this State, on or after the effective date of this bill, is to be configured in a manner that prevents an authorized user from saving or storing a patient’s demographic information into the electronic medical records or laboratory information management systems unless a patient’s gender identity, sexual orientation, and racial and ethnic information is recorded.  The gender identity, sexual orientation, and racial and ethnic information of a patient is to be included in laboratory orders generated by electronic medical record systems. </w:t>
      </w:r>
    </w:p>
    <w:p w:rsidR="00311042" w:rsidRDefault="00311042" w:rsidP="00311042">
      <w:r>
        <w:tab/>
        <w:t>Nothing in the bill’s provisions is to be construed to compel a patient to disclose the patient’s race, ethnicity, sexual orientation, or gender identity to a clinical laboratory, health care provider, or any other entity.</w:t>
      </w:r>
    </w:p>
    <w:p w:rsidR="00311042" w:rsidRDefault="00311042" w:rsidP="00311042">
      <w:r>
        <w:tab/>
        <w:t>Under the bill, r</w:t>
      </w:r>
      <w:r w:rsidRPr="00AA0AD8">
        <w:t>ace and ethnicity, sexual orientation, and gender identity information that is required to be recorded or r</w:t>
      </w:r>
      <w:r>
        <w:t>eported pursuant to bill’s provisions is to</w:t>
      </w:r>
      <w:r w:rsidRPr="00AA0AD8">
        <w:t xml:space="preserve"> be recorded or reported using a program that is compatible with the State’s disease surveillance reporting system or equivalent to Health Level Seven International recording and reporting standards.</w:t>
      </w:r>
      <w:r>
        <w:t xml:space="preserve">  Clinical laboratories and acute care general hospitals are required to establish a cultural competency training program for certain employees as provided for in the bill.</w:t>
      </w:r>
    </w:p>
    <w:p w:rsidR="00311042" w:rsidRPr="00AE5187" w:rsidRDefault="00311042" w:rsidP="00311042">
      <w:r>
        <w:tab/>
        <w:t>As reported, this bill is identical to Senate Bill No. 3233 (1R), as also reported by the committee.</w:t>
      </w:r>
    </w:p>
    <w:p w:rsidR="00311042" w:rsidRDefault="00311042" w:rsidP="00311042"/>
    <w:p w:rsidR="00311042" w:rsidRDefault="00311042" w:rsidP="00311042">
      <w:r>
        <w:rPr>
          <w:u w:val="double"/>
        </w:rPr>
        <w:t>FISCAL IMPACT</w:t>
      </w:r>
      <w:r>
        <w:t>:</w:t>
      </w:r>
    </w:p>
    <w:p w:rsidR="00311042" w:rsidRDefault="00311042" w:rsidP="00311042">
      <w:r>
        <w:tab/>
        <w:t xml:space="preserve">The Office of Legislative Services (OLS) concludes this bill would result in an indeterminate increase in costs incurred by University Hospital, an independent non-profit legal entity that is an instrumentality of the State, and Bergen New Bridge Medical Center (formerly the Bergen Regional Medical Center) in Paramus due to the implementation of an evidence-based cultural competency training program for certain employees mandated under the bill.  </w:t>
      </w:r>
    </w:p>
    <w:p w:rsidR="004B2ABF" w:rsidRDefault="00311042" w:rsidP="0083060A">
      <w:r>
        <w:tab/>
        <w:t>State revenues may also increase marginally under a provision that would impose financial penalties on vendors of electronic medical records or laboratory information management systems that fail to comply with the reporting requirements established under this bill.</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1D58" w:rsidRDefault="00981D58">
      <w:r>
        <w:separator/>
      </w:r>
    </w:p>
  </w:endnote>
  <w:endnote w:type="continuationSeparator" w:id="0">
    <w:p w:rsidR="00981D58" w:rsidRDefault="00981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1D58" w:rsidRDefault="00981D58">
      <w:r>
        <w:separator/>
      </w:r>
    </w:p>
  </w:footnote>
  <w:footnote w:type="continuationSeparator" w:id="0">
    <w:p w:rsidR="00981D58" w:rsidRDefault="00981D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16CE2" w:rsidP="00716CE2">
    <w:pPr>
      <w:pStyle w:val="HeaderPage2"/>
      <w:jc w:val="center"/>
    </w:pPr>
    <w:r>
      <w:fldChar w:fldCharType="begin"/>
    </w:r>
    <w:r>
      <w:instrText xml:space="preserve"> PAGE  \* MERGEFORMAT </w:instrText>
    </w:r>
    <w:r>
      <w:fldChar w:fldCharType="separate"/>
    </w:r>
    <w:r w:rsidR="001D4637">
      <w:rPr>
        <w:noProof/>
      </w:rPr>
      <w:t>2</w:t>
    </w:r>
    <w:r>
      <w:fldChar w:fldCharType="end"/>
    </w:r>
  </w:p>
  <w:p w:rsidR="00716CE2" w:rsidRDefault="00716CE2" w:rsidP="00716CE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D5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6676"/>
    <w:rsid w:val="0019009B"/>
    <w:rsid w:val="00193E07"/>
    <w:rsid w:val="00194AA9"/>
    <w:rsid w:val="001968DB"/>
    <w:rsid w:val="001A5566"/>
    <w:rsid w:val="001B46AC"/>
    <w:rsid w:val="001C5767"/>
    <w:rsid w:val="001C5A13"/>
    <w:rsid w:val="001D0158"/>
    <w:rsid w:val="001D4637"/>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1042"/>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2687"/>
    <w:rsid w:val="003F6DD9"/>
    <w:rsid w:val="00400B15"/>
    <w:rsid w:val="00403D4F"/>
    <w:rsid w:val="00410412"/>
    <w:rsid w:val="004144CF"/>
    <w:rsid w:val="004174D1"/>
    <w:rsid w:val="00420C8F"/>
    <w:rsid w:val="00436B31"/>
    <w:rsid w:val="00437670"/>
    <w:rsid w:val="00440C7E"/>
    <w:rsid w:val="00450A12"/>
    <w:rsid w:val="00451A68"/>
    <w:rsid w:val="004540C9"/>
    <w:rsid w:val="0046121C"/>
    <w:rsid w:val="004653E7"/>
    <w:rsid w:val="00467C12"/>
    <w:rsid w:val="004721EF"/>
    <w:rsid w:val="00475ADA"/>
    <w:rsid w:val="0048100F"/>
    <w:rsid w:val="00481289"/>
    <w:rsid w:val="0048398F"/>
    <w:rsid w:val="0048685C"/>
    <w:rsid w:val="00491049"/>
    <w:rsid w:val="004918FA"/>
    <w:rsid w:val="00493065"/>
    <w:rsid w:val="0049656A"/>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326E"/>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209"/>
    <w:rsid w:val="006F4981"/>
    <w:rsid w:val="00716CE2"/>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1D58"/>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393"/>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066A"/>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1069"/>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2F7A"/>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3A655BC3-9FD0-42FF-B93D-B290CDA4A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B106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B10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677</Words>
  <Characters>3872</Characters>
  <Application>Microsoft Office Word</Application>
  <DocSecurity>0</DocSecurity>
  <Lines>83</Lines>
  <Paragraphs>19</Paragraphs>
  <ScaleCrop>false</ScaleCrop>
  <HeadingPairs>
    <vt:vector size="2" baseType="variant">
      <vt:variant>
        <vt:lpstr>Title</vt:lpstr>
      </vt:variant>
      <vt:variant>
        <vt:i4>1</vt:i4>
      </vt:variant>
    </vt:vector>
  </HeadingPairs>
  <TitlesOfParts>
    <vt:vector size="1" baseType="lpstr">
      <vt:lpstr>A4253 2R ACS Statement 2/11/21</vt:lpstr>
    </vt:vector>
  </TitlesOfParts>
  <Manager>R229</Manager>
  <Company>NJ OLS DMU</Company>
  <LinksUpToDate>false</LinksUpToDate>
  <CharactersWithSpaces>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A4253 2R ACS Statement 2/11/21</dc:title>
  <dc:subject/>
  <dc:creator>Senate SBA</dc:creator>
  <cp:keywords>A4253|2|RF |313|0|0|!||</cp:keywords>
  <dc:description/>
  <cp:lastModifiedBy>Bell, Careema</cp:lastModifiedBy>
  <cp:revision>2</cp:revision>
  <cp:lastPrinted>2021-02-12T15:13:00Z</cp:lastPrinted>
  <dcterms:created xsi:type="dcterms:W3CDTF">2021-02-12T17:03:00Z</dcterms:created>
  <dcterms:modified xsi:type="dcterms:W3CDTF">2021-02-12T17:03:00Z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