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274" w:rsidRDefault="00EE1DC5" w:rsidP="00A50274">
      <w:pPr>
        <w:pStyle w:val="bpuReprint"/>
      </w:pPr>
      <w:bookmarkStart w:id="0" w:name="_GoBack"/>
      <w:bookmarkEnd w:id="0"/>
      <w:r>
        <w:t>[Second Reprint]</w:t>
      </w:r>
    </w:p>
    <w:p w:rsidR="003F374D" w:rsidRDefault="003F374D" w:rsidP="003F374D">
      <w:pPr>
        <w:pStyle w:val="bpuBill"/>
      </w:pPr>
      <w:r>
        <w:t xml:space="preserve">ASSEMBLY, No. 4521 </w:t>
      </w:r>
    </w:p>
    <w:p w:rsidR="003F374D" w:rsidRPr="009D38FF" w:rsidRDefault="003F374D" w:rsidP="003F3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265" r:id="rId7"/>
        </w:object>
      </w:r>
    </w:p>
    <w:p w:rsidR="003F374D" w:rsidRDefault="003F374D" w:rsidP="003F374D">
      <w:pPr>
        <w:pStyle w:val="bpuState"/>
      </w:pPr>
      <w:r>
        <w:t>STATE OF NEW JERSEY</w:t>
      </w:r>
    </w:p>
    <w:p w:rsidR="003F374D" w:rsidRDefault="003F374D" w:rsidP="003F374D">
      <w:pPr>
        <w:pStyle w:val="bpuLegislature"/>
      </w:pPr>
      <w:r>
        <w:t>219th LEGISLATURE</w:t>
      </w:r>
    </w:p>
    <w:p w:rsidR="003F374D" w:rsidRDefault="003F374D" w:rsidP="003F374D">
      <w:pPr>
        <w:pStyle w:val="bpuWpGraphic"/>
      </w:pPr>
      <w:r>
        <w:object w:dxaOrig="8985" w:dyaOrig="255">
          <v:shape id="_x0000_i1026" type="#_x0000_t75" style="width:6in;height:12pt" o:ole="">
            <v:imagedata r:id="rId6" o:title=""/>
          </v:shape>
          <o:OLEObject Type="Embed" ProgID="WPWin6.1" ShapeID="_x0000_i1026" DrawAspect="Content" ObjectID="_1701693266" r:id="rId8"/>
        </w:object>
      </w:r>
      <w:r>
        <w:t xml:space="preserve">  </w:t>
      </w:r>
    </w:p>
    <w:p w:rsidR="003F374D" w:rsidRDefault="003F374D" w:rsidP="003F374D">
      <w:pPr>
        <w:pStyle w:val="bpuIntro"/>
      </w:pPr>
      <w:r>
        <w:t>INTRODUCED AUGUST 13, 2020</w:t>
      </w:r>
    </w:p>
    <w:p w:rsidR="003F374D" w:rsidRDefault="003F374D" w:rsidP="003F374D">
      <w:pPr>
        <w:pStyle w:val="bpuIntro"/>
      </w:pPr>
    </w:p>
    <w:p w:rsidR="003F374D" w:rsidRDefault="003F374D" w:rsidP="003F374D">
      <w:pPr>
        <w:pStyle w:val="bpuIntro"/>
        <w:sectPr w:rsidR="003F374D" w:rsidSect="000067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74D" w:rsidRDefault="003F374D" w:rsidP="003F374D">
      <w:pPr>
        <w:pStyle w:val="bpuIntro"/>
      </w:pPr>
    </w:p>
    <w:p w:rsidR="003F374D" w:rsidRDefault="003F374D" w:rsidP="003F374D">
      <w:pPr>
        <w:pStyle w:val="bpuSponsor"/>
      </w:pPr>
      <w:r>
        <w:t>Sponsored by:</w:t>
      </w:r>
    </w:p>
    <w:p w:rsidR="003F374D" w:rsidRDefault="003F374D" w:rsidP="003F374D">
      <w:pPr>
        <w:pStyle w:val="bpuSponsor"/>
      </w:pPr>
      <w:r>
        <w:t>Assemblyman  ROY FREIMAN</w:t>
      </w:r>
    </w:p>
    <w:p w:rsidR="003F374D" w:rsidRDefault="003F374D" w:rsidP="003F374D">
      <w:pPr>
        <w:pStyle w:val="bpuSponsor"/>
      </w:pPr>
      <w:r>
        <w:t>District 16 (Hunterdon, Mercer, Middlesex and Somerset)</w:t>
      </w:r>
    </w:p>
    <w:p w:rsidR="003F374D" w:rsidRDefault="00236762" w:rsidP="00236762">
      <w:pPr>
        <w:pStyle w:val="bpuSponsor"/>
      </w:pPr>
      <w:r>
        <w:t>Assemblyman  DANIEL R. BENSON</w:t>
      </w:r>
    </w:p>
    <w:p w:rsidR="00236762" w:rsidRDefault="00236762" w:rsidP="00236762">
      <w:pPr>
        <w:pStyle w:val="bpuSponsor"/>
      </w:pPr>
      <w:r>
        <w:t>District 14 (Mercer and Middlesex)</w:t>
      </w:r>
    </w:p>
    <w:p w:rsidR="00236762" w:rsidRDefault="005E5C3E" w:rsidP="005E5C3E">
      <w:pPr>
        <w:pStyle w:val="bpuSponsor"/>
      </w:pPr>
      <w:r>
        <w:t>Assemblyman  RAJ MUKHERJI</w:t>
      </w:r>
    </w:p>
    <w:p w:rsidR="005E5C3E" w:rsidRDefault="005E5C3E" w:rsidP="005E5C3E">
      <w:pPr>
        <w:pStyle w:val="bpuSponsor"/>
      </w:pPr>
      <w:r>
        <w:t>District 33 (Hudson)</w:t>
      </w:r>
    </w:p>
    <w:p w:rsidR="005E5C3E" w:rsidRDefault="00836B63" w:rsidP="00836B63">
      <w:pPr>
        <w:pStyle w:val="bpuSponsor"/>
      </w:pPr>
      <w:r>
        <w:t>Senator  PATRICK J. DIEGNAN, JR.</w:t>
      </w:r>
    </w:p>
    <w:p w:rsidR="00836B63" w:rsidRDefault="00836B63" w:rsidP="00836B63">
      <w:pPr>
        <w:pStyle w:val="bpuSponsor"/>
      </w:pPr>
      <w:r>
        <w:t>District 18 (Middlesex)</w:t>
      </w:r>
    </w:p>
    <w:p w:rsidR="00836B63" w:rsidRDefault="00836B63" w:rsidP="00836B63">
      <w:pPr>
        <w:pStyle w:val="bpuSponsor"/>
      </w:pPr>
      <w:r>
        <w:t>Senator  ANTHONY M. BUCCO</w:t>
      </w:r>
    </w:p>
    <w:p w:rsidR="00836B63" w:rsidRDefault="00836B63" w:rsidP="00836B63">
      <w:pPr>
        <w:pStyle w:val="bpuSponsor"/>
      </w:pPr>
      <w:r>
        <w:t>District 25 (Morris and Somerset)</w:t>
      </w:r>
    </w:p>
    <w:p w:rsidR="00836B63" w:rsidRPr="00836B63" w:rsidRDefault="00836B63" w:rsidP="00836B63"/>
    <w:p w:rsidR="001014BD" w:rsidRDefault="000067B1" w:rsidP="000067B1">
      <w:pPr>
        <w:pStyle w:val="bpuSponsor"/>
      </w:pPr>
      <w:r>
        <w:t>Co-Sponsored by:</w:t>
      </w:r>
    </w:p>
    <w:p w:rsidR="000067B1" w:rsidRPr="000067B1" w:rsidRDefault="000067B1" w:rsidP="000067B1">
      <w:pPr>
        <w:pStyle w:val="bpuSponsor"/>
      </w:pPr>
      <w:r w:rsidRPr="000067B1">
        <w:t>Assemblywomen Downey, McKnight and Assemblyman Conaway</w:t>
      </w:r>
    </w:p>
    <w:p w:rsidR="001014BD" w:rsidRDefault="001014BD" w:rsidP="001014BD"/>
    <w:p w:rsidR="000067B1" w:rsidRPr="001014BD" w:rsidRDefault="000067B1" w:rsidP="001014BD"/>
    <w:p w:rsidR="003F374D" w:rsidRDefault="003F374D" w:rsidP="003F374D">
      <w:pPr>
        <w:pStyle w:val="bpuSponsor"/>
      </w:pPr>
    </w:p>
    <w:p w:rsidR="003F374D" w:rsidRDefault="003F374D" w:rsidP="003F374D">
      <w:pPr>
        <w:pStyle w:val="bpuSponsor"/>
      </w:pPr>
    </w:p>
    <w:p w:rsidR="003F374D" w:rsidRDefault="003F374D" w:rsidP="003F374D">
      <w:pPr>
        <w:pStyle w:val="bpuSponsor"/>
      </w:pPr>
      <w:r>
        <w:t>SYNOPSIS</w:t>
      </w:r>
    </w:p>
    <w:p w:rsidR="003F374D" w:rsidRDefault="00EE1DC5" w:rsidP="003F374D">
      <w:pPr>
        <w:pStyle w:val="bpuNormText"/>
      </w:pPr>
      <w:r>
        <w:tab/>
        <w:t>Allows insurer to</w:t>
      </w:r>
      <w:r w:rsidRPr="00D5109B">
        <w:t xml:space="preserve"> </w:t>
      </w:r>
      <w:r>
        <w:t xml:space="preserve">submit to MVC </w:t>
      </w:r>
      <w:r w:rsidRPr="00D5109B">
        <w:t xml:space="preserve">power of attorney executed electronically </w:t>
      </w:r>
      <w:r>
        <w:t xml:space="preserve">for </w:t>
      </w:r>
      <w:r w:rsidRPr="00D5109B">
        <w:t>certificate of ownership o</w:t>
      </w:r>
      <w:r>
        <w:t>r salvage certificate of title</w:t>
      </w:r>
      <w:r w:rsidRPr="00D5109B">
        <w:t xml:space="preserve"> by person who received or is due to receive total loss settlement from insurer.</w:t>
      </w:r>
    </w:p>
    <w:p w:rsidR="00EE1DC5" w:rsidRDefault="00EE1DC5" w:rsidP="003F374D">
      <w:pPr>
        <w:pStyle w:val="bpuNormText"/>
      </w:pPr>
    </w:p>
    <w:p w:rsidR="003F374D" w:rsidRDefault="003F374D" w:rsidP="003F374D">
      <w:pPr>
        <w:pStyle w:val="bpuSponsor"/>
      </w:pPr>
      <w:r>
        <w:t xml:space="preserve">CURRENT VERSION OF TEXT </w:t>
      </w:r>
    </w:p>
    <w:p w:rsidR="003F374D" w:rsidRDefault="00EE1DC5" w:rsidP="003F374D">
      <w:pPr>
        <w:pStyle w:val="bpuNormText"/>
      </w:pPr>
      <w:r>
        <w:tab/>
        <w:t>As reported by the Senate Commerce Committee on June 16, 2021, with amendments.</w:t>
      </w:r>
    </w:p>
    <w:p w:rsidR="003F374D" w:rsidRDefault="003F374D" w:rsidP="003F37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74D" w:rsidRDefault="003F374D" w:rsidP="008916EC">
      <w:pPr>
        <w:pStyle w:val="FronterPage"/>
        <w:tabs>
          <w:tab w:val="clear" w:pos="720"/>
          <w:tab w:val="clear" w:pos="1440"/>
          <w:tab w:val="clear" w:pos="2160"/>
          <w:tab w:val="clear" w:pos="2880"/>
          <w:tab w:val="clear" w:pos="3600"/>
          <w:tab w:val="clear" w:pos="4320"/>
          <w:tab w:val="clear" w:pos="5040"/>
        </w:tabs>
        <w:sectPr w:rsidR="003F374D" w:rsidSect="003F374D">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1.</w:t>
      </w:r>
      <w:r w:rsidRPr="00EE1DC5">
        <w:rPr>
          <w:spacing w:val="0"/>
        </w:rPr>
        <w:tab/>
        <w:t>Section 2 of P.L.1983, c.323 (C.39:10-32) is amended to read as follows:</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a.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b.</w:t>
      </w:r>
      <w:r w:rsidRPr="00EE1DC5">
        <w:rPr>
          <w:spacing w:val="0"/>
        </w:rPr>
        <w:tab/>
        <w:t>The chief administrator, after determining ownership, shall issue a salvage certificate of title to a person who surrenders a certificate of ownership pursuant to subsection a. of this section.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c.</w:t>
      </w:r>
      <w:r w:rsidRPr="00EE1DC5">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The provisions of this subsection shall only apply when the most recent certificate of ownership for the motor vehicle was issued by this State.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1DC5">
        <w:rPr>
          <w:spacing w:val="0"/>
        </w:rPr>
        <w:tab/>
        <w:t>(3)</w:t>
      </w:r>
      <w:r w:rsidRPr="00EE1DC5">
        <w:rPr>
          <w:spacing w:val="0"/>
        </w:rPr>
        <w:tab/>
        <w:t>The application for a certificate of ownership or a salvage certificate of title shall be made on a form prescribed by the chief administrator and shall include proof</w:t>
      </w:r>
      <w:r>
        <w:rPr>
          <w:spacing w:val="0"/>
        </w:rPr>
        <w:t xml:space="preserve"> of payment of the claim, proof</w:t>
      </w:r>
      <w:r>
        <w:br w:type="page"/>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lastRenderedPageBreak/>
        <w:t>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(5)</w:t>
      </w:r>
      <w:r w:rsidRPr="00EE1DC5">
        <w:rPr>
          <w:spacing w:val="0"/>
        </w:rP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d.</w:t>
      </w:r>
      <w:r w:rsidRPr="00EE1DC5">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 xml:space="preserve">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w:t>
      </w:r>
      <w:r w:rsidRPr="00EE1DC5">
        <w:rPr>
          <w:spacing w:val="0"/>
        </w:rPr>
        <w:lastRenderedPageBreak/>
        <w:t>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e.</w:t>
      </w:r>
      <w:r w:rsidRPr="00EE1DC5">
        <w:rPr>
          <w:spacing w:val="0"/>
        </w:rPr>
        <w:tab/>
        <w:t xml:space="preserve">(1)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(4)</w:t>
      </w:r>
      <w:r w:rsidRPr="00EE1DC5">
        <w:rPr>
          <w:spacing w:val="0"/>
        </w:rP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lastRenderedPageBreak/>
        <w:tab/>
        <w:t>f.</w:t>
      </w:r>
      <w:r w:rsidRPr="00EE1DC5">
        <w:rPr>
          <w:spacing w:val="0"/>
        </w:rPr>
        <w:tab/>
        <w:t>(1)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(2)</w:t>
      </w:r>
      <w:r w:rsidRPr="00EE1DC5">
        <w:rPr>
          <w:spacing w:val="0"/>
        </w:rP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(3)</w:t>
      </w:r>
      <w:r w:rsidRPr="00EE1DC5">
        <w:rPr>
          <w:spacing w:val="0"/>
        </w:rP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ab/>
        <w:t>g.</w:t>
      </w:r>
      <w:r w:rsidRPr="00EE1DC5">
        <w:rPr>
          <w:spacing w:val="0"/>
        </w:rPr>
        <w:tab/>
        <w:t>The chief administrator shall be immune from liability for any errors or misrepresentations made by an insurer pursuant to subsections c., d., and e. of this section or by a salvage processor pursuant to subsection f. of this section.</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h.</w:t>
      </w:r>
      <w:r w:rsidRPr="00EE1DC5">
        <w:rPr>
          <w:spacing w:val="0"/>
        </w:rPr>
        <w:tab/>
      </w:r>
      <w:r w:rsidRPr="00EE1DC5">
        <w:rPr>
          <w:rFonts w:ascii="Albertus Extra Bold" w:hAnsi="Albertus Extra Bold"/>
          <w:b/>
          <w:vertAlign w:val="superscript"/>
        </w:rPr>
        <w:t>2</w:t>
      </w:r>
      <w:r w:rsidRPr="00EE1DC5">
        <w:rPr>
          <w:rFonts w:ascii="Albertus Extra Bold" w:hAnsi="Albertus Extra Bold"/>
          <w:b/>
        </w:rPr>
        <w:t>[</w:t>
      </w:r>
      <w:r w:rsidRPr="00EE1DC5">
        <w:rPr>
          <w:spacing w:val="0"/>
          <w:u w:val="single"/>
        </w:rPr>
        <w:t>Notwithstanding the provisions of this section, an insurer licensed to do business in this State shall not be required to submit with an application for a certificate of ownership or salvage</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certificate of</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title any document from the insurer providing proof of power of attorney.</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lastRenderedPageBreak/>
        <w:tab/>
      </w:r>
      <w:r w:rsidRPr="00EE1DC5">
        <w:rPr>
          <w:spacing w:val="0"/>
          <w:u w:val="single"/>
        </w:rPr>
        <w:t>i.</w:t>
      </w:r>
      <w:r w:rsidRPr="00EE1DC5">
        <w:rPr>
          <w:spacing w:val="0"/>
          <w:u w:val="single"/>
        </w:rPr>
        <w:tab/>
        <w:t>Notwithstanding any provision of law to the contrary,</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the chief administrator shall not require a notarized signature on the certificate of ownership surrender statement, submitted pursuant to subsection a. of this section, that is from a person</w:t>
      </w:r>
      <w:r w:rsidRPr="00EE1DC5">
        <w:rPr>
          <w:rFonts w:ascii="Albertus Extra Bold" w:hAnsi="Albertus Extra Bold"/>
          <w:b/>
          <w:spacing w:val="0"/>
        </w:rPr>
        <w:t>]</w:t>
      </w:r>
      <w:r w:rsidRPr="00EE1DC5">
        <w:rPr>
          <w:spacing w:val="0"/>
        </w:rPr>
        <w:t xml:space="preserve"> </w:t>
      </w:r>
      <w:r w:rsidRPr="00EE1DC5">
        <w:rPr>
          <w:spacing w:val="0"/>
          <w:u w:val="single"/>
        </w:rPr>
        <w:t>notarization of the signature or electronic signature of the owner of a motor vehicle</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who has received or is due to receive a total loss settlement from an insurer,</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is not required on a power of attorney</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or</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on a</w:t>
      </w:r>
      <w:r w:rsidRPr="00EE1DC5">
        <w:rPr>
          <w:rFonts w:ascii="Albertus Extra Bold" w:hAnsi="Albertus Extra Bold"/>
          <w:b/>
          <w:spacing w:val="0"/>
        </w:rPr>
        <w:t>]</w:t>
      </w:r>
      <w:r w:rsidRPr="00EE1DC5">
        <w:rPr>
          <w:spacing w:val="0"/>
        </w:rPr>
        <w:t xml:space="preserve"> </w:t>
      </w:r>
      <w:r w:rsidRPr="00EE1DC5">
        <w:rPr>
          <w:spacing w:val="0"/>
          <w:u w:val="single"/>
        </w:rPr>
        <w:t>other</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document</w:t>
      </w:r>
      <w:r w:rsidRPr="00EE1DC5">
        <w:rPr>
          <w:spacing w:val="0"/>
        </w:rPr>
        <w:t xml:space="preserve">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u w:val="single"/>
        </w:rPr>
        <w:t>authorizing the insurer or insurer’s agent to act as power of attorney, in order to obtain</w:t>
      </w:r>
      <w:r w:rsidRPr="00EE1DC5">
        <w:rPr>
          <w:rFonts w:ascii="Albertus Extra Bold" w:hAnsi="Albertus Extra Bold"/>
          <w:b/>
          <w:spacing w:val="0"/>
        </w:rPr>
        <w:t>]</w:t>
      </w:r>
      <w:r w:rsidRPr="00EE1DC5">
        <w:rPr>
          <w:spacing w:val="0"/>
        </w:rPr>
        <w:t xml:space="preserve"> </w:t>
      </w:r>
      <w:r w:rsidRPr="00EE1DC5">
        <w:rPr>
          <w:spacing w:val="0"/>
          <w:u w:val="single"/>
        </w:rPr>
        <w:t>supporting an application for</w:t>
      </w:r>
      <w:r w:rsidRPr="00EE1DC5">
        <w:rPr>
          <w:rFonts w:ascii="Albertus Extra Bold" w:hAnsi="Albertus Extra Bold"/>
          <w:b/>
          <w:spacing w:val="0"/>
          <w:vertAlign w:val="superscript"/>
        </w:rPr>
        <w:t>1</w:t>
      </w:r>
      <w:r w:rsidRPr="00EE1DC5">
        <w:rPr>
          <w:spacing w:val="0"/>
        </w:rPr>
        <w:t xml:space="preserve"> </w:t>
      </w:r>
      <w:r w:rsidRPr="00EE1DC5">
        <w:rPr>
          <w:spacing w:val="0"/>
          <w:u w:val="single"/>
        </w:rPr>
        <w:t>a certificate of ownership or a salvage certificate of title</w:t>
      </w:r>
      <w:r w:rsidRPr="00EE1DC5">
        <w:rPr>
          <w:spacing w:val="0"/>
        </w:rPr>
        <w:t xml:space="preserve"> </w:t>
      </w:r>
      <w:r w:rsidRPr="00EE1DC5">
        <w:rPr>
          <w:rFonts w:ascii="Albertus Extra Bold" w:hAnsi="Albertus Extra Bold"/>
          <w:b/>
          <w:spacing w:val="0"/>
          <w:vertAlign w:val="superscript"/>
        </w:rPr>
        <w:t>1</w:t>
      </w:r>
      <w:r w:rsidRPr="00EE1DC5">
        <w:rPr>
          <w:spacing w:val="0"/>
          <w:u w:val="single"/>
        </w:rPr>
        <w:t>submitted by an insurer or an agent of an insurer</w:t>
      </w:r>
      <w:r w:rsidRPr="00EE1DC5">
        <w:rPr>
          <w:rFonts w:ascii="Albertus Extra Bold" w:hAnsi="Albertus Extra Bold"/>
          <w:b/>
          <w:spacing w:val="0"/>
          <w:vertAlign w:val="superscript"/>
        </w:rPr>
        <w:t>1</w:t>
      </w:r>
      <w:r w:rsidRPr="00EE1DC5">
        <w:rPr>
          <w:rFonts w:ascii="Albertus Extra Bold" w:hAnsi="Albertus Extra Bold"/>
          <w:b/>
        </w:rPr>
        <w:t>]</w:t>
      </w:r>
      <w:r w:rsidRPr="00EE1DC5">
        <w:rPr>
          <w:spacing w:val="0"/>
        </w:rPr>
        <w:t xml:space="preserve"> </w:t>
      </w:r>
      <w:r w:rsidRPr="00EE1DC5">
        <w:rPr>
          <w:spacing w:val="0"/>
          <w:u w:val="single"/>
        </w:rPr>
        <w:t>Notwithstanding any provision of law or regulation to the contrary, an insurer licensed to do business in this State shall be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A power of attorney signed electronically is not required to be notarized but shall, at a minimum, meet security requirements prescribed by the chief administrator.</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1DC5">
        <w:rPr>
          <w:spacing w:val="0"/>
        </w:rPr>
        <w:tab/>
      </w:r>
      <w:r w:rsidRPr="00EE1DC5">
        <w:rPr>
          <w:spacing w:val="0"/>
          <w:u w:val="single"/>
        </w:rPr>
        <w:t>The chief administrator shall adopt regulations to implement the provisions of this subsection, and may prescribe the form and format of an electronically signed power of attorney and any additional security requirements the chief administrator deems necessary, including any requirements to ensure that any power of attorney signed electronically complies with federal odometer disclosure requirements under 49 C.F.R. s.580.1 et seq</w:t>
      </w:r>
      <w:r w:rsidRPr="00EE1DC5">
        <w:rPr>
          <w:rFonts w:ascii="Albertus Extra Bold" w:hAnsi="Albertus Extra Bold"/>
          <w:b/>
          <w:vertAlign w:val="superscript"/>
        </w:rPr>
        <w:t>2</w:t>
      </w:r>
      <w:r w:rsidRPr="00EE1DC5">
        <w:rPr>
          <w:spacing w:val="0"/>
          <w:u w:val="single"/>
        </w:rPr>
        <w:t>.</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1DC5">
        <w:rPr>
          <w:spacing w:val="0"/>
        </w:rPr>
        <w:t>(</w:t>
      </w:r>
      <w:proofErr w:type="spellStart"/>
      <w:r w:rsidRPr="00EE1DC5">
        <w:rPr>
          <w:spacing w:val="0"/>
        </w:rPr>
        <w:t>cf</w:t>
      </w:r>
      <w:proofErr w:type="spellEnd"/>
      <w:r w:rsidRPr="00EE1DC5">
        <w:rPr>
          <w:spacing w:val="0"/>
        </w:rPr>
        <w:t>: P.L.2015, c.208, s.1)</w:t>
      </w:r>
    </w:p>
    <w:p w:rsidR="00EE1DC5" w:rsidRPr="00EE1DC5"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50274" w:rsidRDefault="00EE1DC5" w:rsidP="00EE1D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1DC5">
        <w:rPr>
          <w:spacing w:val="0"/>
        </w:rPr>
        <w:tab/>
        <w:t>2.</w:t>
      </w:r>
      <w:r w:rsidRPr="00EE1DC5">
        <w:rPr>
          <w:spacing w:val="0"/>
        </w:rPr>
        <w:tab/>
        <w:t xml:space="preserve">This act shall take effect </w:t>
      </w:r>
      <w:r w:rsidRPr="00EE1DC5">
        <w:rPr>
          <w:rFonts w:ascii="Albertus Extra Bold" w:hAnsi="Albertus Extra Bold"/>
          <w:b/>
          <w:spacing w:val="0"/>
          <w:vertAlign w:val="superscript"/>
        </w:rPr>
        <w:t>1</w:t>
      </w:r>
      <w:r w:rsidRPr="00EE1DC5">
        <w:rPr>
          <w:rFonts w:ascii="Albertus Extra Bold" w:hAnsi="Albertus Extra Bold"/>
          <w:b/>
          <w:spacing w:val="0"/>
        </w:rPr>
        <w:t>[</w:t>
      </w:r>
      <w:r w:rsidRPr="00EE1DC5">
        <w:rPr>
          <w:spacing w:val="0"/>
        </w:rPr>
        <w:t>immediately</w:t>
      </w:r>
      <w:r w:rsidRPr="00EE1DC5">
        <w:rPr>
          <w:rFonts w:ascii="Albertus Extra Bold" w:hAnsi="Albertus Extra Bold"/>
          <w:b/>
          <w:spacing w:val="0"/>
        </w:rPr>
        <w:t>]</w:t>
      </w:r>
      <w:r w:rsidRPr="00EE1DC5">
        <w:rPr>
          <w:spacing w:val="0"/>
        </w:rPr>
        <w:t xml:space="preserve"> </w:t>
      </w:r>
      <w:r w:rsidRPr="00EE1DC5">
        <w:rPr>
          <w:spacing w:val="0"/>
          <w:u w:val="single"/>
        </w:rPr>
        <w:t xml:space="preserve">on the first day of the </w:t>
      </w:r>
      <w:r w:rsidRPr="00EE1DC5">
        <w:rPr>
          <w:rFonts w:ascii="Albertus Extra Bold" w:hAnsi="Albertus Extra Bold"/>
          <w:b/>
          <w:vertAlign w:val="superscript"/>
        </w:rPr>
        <w:t>2</w:t>
      </w:r>
      <w:r w:rsidRPr="00EE1DC5">
        <w:rPr>
          <w:rFonts w:ascii="Albertus Extra Bold" w:hAnsi="Albertus Extra Bold"/>
          <w:b/>
        </w:rPr>
        <w:t>[</w:t>
      </w:r>
      <w:r w:rsidRPr="00EE1DC5">
        <w:rPr>
          <w:spacing w:val="0"/>
          <w:u w:val="single"/>
        </w:rPr>
        <w:t>sixth</w:t>
      </w:r>
      <w:r w:rsidRPr="00EE1DC5">
        <w:rPr>
          <w:rFonts w:ascii="Albertus Extra Bold" w:hAnsi="Albertus Extra Bold"/>
          <w:b/>
        </w:rPr>
        <w:t>]</w:t>
      </w:r>
      <w:r w:rsidRPr="00EE1DC5">
        <w:rPr>
          <w:spacing w:val="0"/>
        </w:rPr>
        <w:t xml:space="preserve"> </w:t>
      </w:r>
      <w:r w:rsidRPr="00EE1DC5">
        <w:rPr>
          <w:spacing w:val="0"/>
          <w:u w:val="single"/>
        </w:rPr>
        <w:t>twelfth</w:t>
      </w:r>
      <w:r w:rsidRPr="00EE1DC5">
        <w:rPr>
          <w:rFonts w:ascii="Albertus Extra Bold" w:hAnsi="Albertus Extra Bold"/>
          <w:b/>
          <w:vertAlign w:val="superscript"/>
        </w:rPr>
        <w:t>2</w:t>
      </w:r>
      <w:r w:rsidRPr="00EE1DC5">
        <w:rPr>
          <w:spacing w:val="0"/>
        </w:rPr>
        <w:t xml:space="preserve"> </w:t>
      </w:r>
      <w:r w:rsidRPr="00EE1DC5">
        <w:rPr>
          <w:spacing w:val="0"/>
          <w:u w:val="single"/>
        </w:rPr>
        <w:t>month following enactment</w:t>
      </w:r>
      <w:r w:rsidRPr="00EE1DC5">
        <w:rPr>
          <w:rFonts w:ascii="Albertus Extra Bold" w:hAnsi="Albertus Extra Bold"/>
          <w:b/>
          <w:spacing w:val="0"/>
          <w:vertAlign w:val="superscript"/>
        </w:rPr>
        <w:t>1</w:t>
      </w:r>
      <w:r w:rsidRPr="00EE1DC5">
        <w:rPr>
          <w:spacing w:val="0"/>
        </w:rPr>
        <w:t>.</w:t>
      </w:r>
    </w:p>
    <w:sectPr w:rsidR="00A50274" w:rsidSect="00EE1DC5">
      <w:headerReference w:type="default" r:id="rId13"/>
      <w:footerReference w:type="default" r:id="rId14"/>
      <w:headerReference w:type="first" r:id="rId15"/>
      <w:footerReference w:type="first" r:id="rId16"/>
      <w:pgSz w:w="12240" w:h="20160" w:code="5"/>
      <w:pgMar w:top="1440" w:right="2520" w:bottom="1872" w:left="2880" w:header="1181" w:footer="7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2" w:rsidRDefault="000067B1" w:rsidP="000067B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274" w:rsidRDefault="00A50274" w:rsidP="00686AEB">
    <w:pPr>
      <w:pStyle w:val="Footer"/>
    </w:pPr>
    <w:r>
      <w:tab/>
      <w:t>Matter enclosed in superscript numerals has been adopted as follows:</w:t>
    </w:r>
  </w:p>
  <w:p w:rsidR="00EE1DC5" w:rsidRDefault="00A502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January 25, 2021.</w:t>
    </w:r>
  </w:p>
  <w:p w:rsidR="00A50274" w:rsidRDefault="00EE1DC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6A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74D" w:rsidRDefault="003F374D" w:rsidP="003F374D">
    <w:pPr>
      <w:pStyle w:val="bpuHeadSpon"/>
    </w:pPr>
    <w:r w:rsidRPr="003F374D">
      <w:rPr>
        <w:rStyle w:val="bpuHeadSponChar"/>
      </w:rPr>
      <w:t>A4521</w:t>
    </w:r>
    <w:r>
      <w:t xml:space="preserve"> </w:t>
    </w:r>
    <w:r w:rsidR="00EE1DC5">
      <w:t>[2R]</w:t>
    </w:r>
    <w:r w:rsidR="00A50274">
      <w:t xml:space="preserve"> </w:t>
    </w:r>
    <w:r>
      <w:t>FREIMAN</w:t>
    </w:r>
    <w:r w:rsidR="00236762">
      <w:t>, BENSON</w:t>
    </w:r>
  </w:p>
  <w:p w:rsidR="003F374D" w:rsidRDefault="003F374D" w:rsidP="003F374D">
    <w:pPr>
      <w:pStyle w:val="bpuHeadSpon"/>
    </w:pPr>
    <w:r>
      <w:fldChar w:fldCharType="begin"/>
    </w:r>
    <w:r>
      <w:instrText xml:space="preserve"> PAGE  \* MERGEFORMAT </w:instrText>
    </w:r>
    <w:r>
      <w:fldChar w:fldCharType="separate"/>
    </w:r>
    <w:r w:rsidR="00EC615E">
      <w:rPr>
        <w:noProof/>
      </w:rPr>
      <w:t>6</w:t>
    </w:r>
    <w:r>
      <w:fldChar w:fldCharType="end"/>
    </w:r>
  </w:p>
  <w:p w:rsidR="003F374D" w:rsidRDefault="003F374D" w:rsidP="003F3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74D" w:rsidRDefault="003F374D" w:rsidP="003F374D">
    <w:pPr>
      <w:pStyle w:val="bpuHeadSpon"/>
    </w:pPr>
    <w:r w:rsidRPr="003F374D">
      <w:rPr>
        <w:rStyle w:val="bpuHeadSponChar"/>
      </w:rPr>
      <w:t>A4521</w:t>
    </w:r>
    <w:r>
      <w:t xml:space="preserve"> </w:t>
    </w:r>
    <w:r w:rsidR="00EE1DC5">
      <w:t>[2R]</w:t>
    </w:r>
    <w:r w:rsidR="00A50274">
      <w:t xml:space="preserve"> </w:t>
    </w:r>
    <w:r>
      <w:t>FREIMAN</w:t>
    </w:r>
    <w:r w:rsidR="00236762">
      <w:t>, BENSON</w:t>
    </w:r>
  </w:p>
  <w:p w:rsidR="003F374D" w:rsidRDefault="003F374D" w:rsidP="003F374D">
    <w:pPr>
      <w:pStyle w:val="bpuHeadSpon"/>
    </w:pPr>
    <w:r>
      <w:fldChar w:fldCharType="begin"/>
    </w:r>
    <w:r>
      <w:instrText xml:space="preserve"> PAGE  \* MERGEFORMAT </w:instrText>
    </w:r>
    <w:r>
      <w:fldChar w:fldCharType="separate"/>
    </w:r>
    <w:r w:rsidR="00326AD8">
      <w:rPr>
        <w:noProof/>
      </w:rPr>
      <w:t>2</w:t>
    </w:r>
    <w:r>
      <w:fldChar w:fldCharType="end"/>
    </w:r>
  </w:p>
  <w:p w:rsidR="003F374D" w:rsidRDefault="003F374D" w:rsidP="003F3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067B1"/>
    <w:rsid w:val="00012698"/>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014BD"/>
    <w:rsid w:val="0013000E"/>
    <w:rsid w:val="00133097"/>
    <w:rsid w:val="00133F81"/>
    <w:rsid w:val="001357BD"/>
    <w:rsid w:val="00135943"/>
    <w:rsid w:val="001645FB"/>
    <w:rsid w:val="001727E6"/>
    <w:rsid w:val="00173D2B"/>
    <w:rsid w:val="00181676"/>
    <w:rsid w:val="00183603"/>
    <w:rsid w:val="00194E78"/>
    <w:rsid w:val="0019707B"/>
    <w:rsid w:val="00197E8B"/>
    <w:rsid w:val="00197FA4"/>
    <w:rsid w:val="001A161A"/>
    <w:rsid w:val="001A20F5"/>
    <w:rsid w:val="001A3B79"/>
    <w:rsid w:val="001A66B6"/>
    <w:rsid w:val="001A76B6"/>
    <w:rsid w:val="001B4716"/>
    <w:rsid w:val="001B4EA4"/>
    <w:rsid w:val="001C7C52"/>
    <w:rsid w:val="001D25F3"/>
    <w:rsid w:val="001D39DA"/>
    <w:rsid w:val="001D3C53"/>
    <w:rsid w:val="001E15F1"/>
    <w:rsid w:val="001E16FA"/>
    <w:rsid w:val="001E6213"/>
    <w:rsid w:val="001F14C7"/>
    <w:rsid w:val="001F7405"/>
    <w:rsid w:val="00205533"/>
    <w:rsid w:val="00212B8D"/>
    <w:rsid w:val="00222983"/>
    <w:rsid w:val="00226606"/>
    <w:rsid w:val="00235D2F"/>
    <w:rsid w:val="00236762"/>
    <w:rsid w:val="002370D0"/>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EE"/>
    <w:rsid w:val="002F3BA6"/>
    <w:rsid w:val="00307D21"/>
    <w:rsid w:val="00315320"/>
    <w:rsid w:val="00325776"/>
    <w:rsid w:val="00325E27"/>
    <w:rsid w:val="00326AD8"/>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270D"/>
    <w:rsid w:val="003C43EF"/>
    <w:rsid w:val="003C5A6B"/>
    <w:rsid w:val="003C7FB2"/>
    <w:rsid w:val="003D24DE"/>
    <w:rsid w:val="003D6C56"/>
    <w:rsid w:val="003E26D4"/>
    <w:rsid w:val="003E47BA"/>
    <w:rsid w:val="003F374D"/>
    <w:rsid w:val="003F3B37"/>
    <w:rsid w:val="003F4B38"/>
    <w:rsid w:val="0040195A"/>
    <w:rsid w:val="00402DC0"/>
    <w:rsid w:val="0040453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12"/>
    <w:rsid w:val="00484144"/>
    <w:rsid w:val="00484C19"/>
    <w:rsid w:val="00485866"/>
    <w:rsid w:val="00492076"/>
    <w:rsid w:val="00493B1D"/>
    <w:rsid w:val="00497037"/>
    <w:rsid w:val="004A3009"/>
    <w:rsid w:val="004A6940"/>
    <w:rsid w:val="004A77A4"/>
    <w:rsid w:val="004B7DBD"/>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E5C3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E54"/>
    <w:rsid w:val="00667A5C"/>
    <w:rsid w:val="00677316"/>
    <w:rsid w:val="00680AC8"/>
    <w:rsid w:val="00686AEB"/>
    <w:rsid w:val="006B7897"/>
    <w:rsid w:val="006B7FA7"/>
    <w:rsid w:val="006C086A"/>
    <w:rsid w:val="006C21C1"/>
    <w:rsid w:val="006C7327"/>
    <w:rsid w:val="006D00E5"/>
    <w:rsid w:val="006D19F7"/>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1F44"/>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16BD1"/>
    <w:rsid w:val="0082372B"/>
    <w:rsid w:val="00832816"/>
    <w:rsid w:val="00836B6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ED1"/>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74"/>
    <w:rsid w:val="00A50F6B"/>
    <w:rsid w:val="00A52237"/>
    <w:rsid w:val="00A551D6"/>
    <w:rsid w:val="00A6251B"/>
    <w:rsid w:val="00A6620F"/>
    <w:rsid w:val="00A6754E"/>
    <w:rsid w:val="00A70F58"/>
    <w:rsid w:val="00A72987"/>
    <w:rsid w:val="00A7346B"/>
    <w:rsid w:val="00A84C4F"/>
    <w:rsid w:val="00A86BB4"/>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55C4"/>
    <w:rsid w:val="00BB1190"/>
    <w:rsid w:val="00BB31D0"/>
    <w:rsid w:val="00BB3A11"/>
    <w:rsid w:val="00BB4DDB"/>
    <w:rsid w:val="00BB5D79"/>
    <w:rsid w:val="00BB5F02"/>
    <w:rsid w:val="00BC3CE0"/>
    <w:rsid w:val="00BC4E10"/>
    <w:rsid w:val="00BC7892"/>
    <w:rsid w:val="00BE24D6"/>
    <w:rsid w:val="00BE6F34"/>
    <w:rsid w:val="00BE7EFA"/>
    <w:rsid w:val="00BF06AD"/>
    <w:rsid w:val="00BF2C67"/>
    <w:rsid w:val="00C04F4D"/>
    <w:rsid w:val="00C12E48"/>
    <w:rsid w:val="00C13D14"/>
    <w:rsid w:val="00C15F53"/>
    <w:rsid w:val="00C23F09"/>
    <w:rsid w:val="00C25356"/>
    <w:rsid w:val="00C328D0"/>
    <w:rsid w:val="00C46BC1"/>
    <w:rsid w:val="00C5235F"/>
    <w:rsid w:val="00C54CE2"/>
    <w:rsid w:val="00C666D9"/>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3111"/>
    <w:rsid w:val="00CA4725"/>
    <w:rsid w:val="00CB6246"/>
    <w:rsid w:val="00CB73D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57F"/>
    <w:rsid w:val="00D6090A"/>
    <w:rsid w:val="00D62FA3"/>
    <w:rsid w:val="00D63B6F"/>
    <w:rsid w:val="00D64A90"/>
    <w:rsid w:val="00D7133D"/>
    <w:rsid w:val="00D9410B"/>
    <w:rsid w:val="00D9695B"/>
    <w:rsid w:val="00DA2417"/>
    <w:rsid w:val="00DA5585"/>
    <w:rsid w:val="00DB02AC"/>
    <w:rsid w:val="00DB6AA2"/>
    <w:rsid w:val="00DD3ECF"/>
    <w:rsid w:val="00DD52D6"/>
    <w:rsid w:val="00DE10D1"/>
    <w:rsid w:val="00DE2514"/>
    <w:rsid w:val="00DE6851"/>
    <w:rsid w:val="00DF03EE"/>
    <w:rsid w:val="00E01563"/>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3642"/>
    <w:rsid w:val="00EC5281"/>
    <w:rsid w:val="00EC615E"/>
    <w:rsid w:val="00EC791D"/>
    <w:rsid w:val="00EC7CA6"/>
    <w:rsid w:val="00ED3C5D"/>
    <w:rsid w:val="00ED4553"/>
    <w:rsid w:val="00EE1DC5"/>
    <w:rsid w:val="00F00D08"/>
    <w:rsid w:val="00F02FFE"/>
    <w:rsid w:val="00F15583"/>
    <w:rsid w:val="00F200EE"/>
    <w:rsid w:val="00F22481"/>
    <w:rsid w:val="00F2542E"/>
    <w:rsid w:val="00F27278"/>
    <w:rsid w:val="00F344E3"/>
    <w:rsid w:val="00F34D58"/>
    <w:rsid w:val="00F41A9D"/>
    <w:rsid w:val="00F44314"/>
    <w:rsid w:val="00F54B9C"/>
    <w:rsid w:val="00F54C9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D3D81"/>
    <w:rsid w:val="00FE5A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5C6FDE"/>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374D"/>
  </w:style>
  <w:style w:type="paragraph" w:styleId="BalloonText">
    <w:name w:val="Balloon Text"/>
    <w:basedOn w:val="Normal"/>
    <w:link w:val="BalloonTextChar"/>
    <w:semiHidden/>
    <w:unhideWhenUsed/>
    <w:rsid w:val="00A86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B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2403</Words>
  <Characters>12232</Characters>
  <Application>Microsoft Office Word</Application>
  <DocSecurity>0</DocSecurity>
  <Lines>255</Lines>
  <Paragraphs>54</Paragraphs>
  <ScaleCrop>false</ScaleCrop>
  <HeadingPairs>
    <vt:vector size="2" baseType="variant">
      <vt:variant>
        <vt:lpstr>Title</vt:lpstr>
      </vt:variant>
      <vt:variant>
        <vt:i4>1</vt:i4>
      </vt:variant>
    </vt:vector>
  </HeadingPairs>
  <TitlesOfParts>
    <vt:vector size="1" baseType="lpstr">
      <vt:lpstr>A4521 2R</vt:lpstr>
    </vt:vector>
  </TitlesOfParts>
  <Manager>R229</Manager>
  <Company>NJ Office of Legislative Services</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A4521 2R</dc:title>
  <dc:subject/>
  <dc:creator>Assemblymen  FREIMAN and BENSON</dc:creator>
  <cp:keywords>A4521|6|AU |147|270|323|!||</cp:keywords>
  <dc:description>INTRODUCED AUGUST 13, 2020_x000d_
Amended 1/25/21_x000d_
Amended 6/16/21</dc:description>
  <cp:lastModifiedBy>Franks, Denise</cp:lastModifiedBy>
  <cp:revision>2</cp:revision>
  <cp:lastPrinted>2021-12-22T20:47:00Z</cp:lastPrinted>
  <dcterms:created xsi:type="dcterms:W3CDTF">2021-12-22T20:48:00Z</dcterms:created>
  <dcterms:modified xsi:type="dcterms:W3CDTF">2021-12-22T20:48:00Z</dcterms:modified>
  <cp:category>s.2: Eff. date &amp; Note to s.1 to 2020/60_x000d_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