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9F7" w:rsidRDefault="00B749F7" w:rsidP="00B749F7">
      <w:pPr>
        <w:pStyle w:val="bpuReprint"/>
      </w:pPr>
      <w:bookmarkStart w:id="0" w:name="bpuFrontPg"/>
      <w:bookmarkEnd w:id="0"/>
      <w:r>
        <w:t>[First Reprint]</w:t>
      </w:r>
    </w:p>
    <w:p w:rsidR="002B0C36" w:rsidRDefault="002B0C36" w:rsidP="002B0C36">
      <w:pPr>
        <w:pStyle w:val="bpuBill"/>
      </w:pPr>
      <w:r>
        <w:t xml:space="preserve">ASSEMBLY, No. 4569 </w:t>
      </w:r>
    </w:p>
    <w:p w:rsidR="002B0C36" w:rsidRPr="009D38FF" w:rsidRDefault="002B0C36" w:rsidP="002B0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62626" r:id="rId7"/>
        </w:object>
      </w:r>
    </w:p>
    <w:p w:rsidR="002B0C36" w:rsidRDefault="002B0C36" w:rsidP="002B0C36">
      <w:pPr>
        <w:pStyle w:val="bpuState"/>
      </w:pPr>
      <w:r>
        <w:t>STATE OF NEW JERSEY</w:t>
      </w:r>
    </w:p>
    <w:p w:rsidR="002B0C36" w:rsidRDefault="002B0C36" w:rsidP="002B0C36">
      <w:pPr>
        <w:pStyle w:val="bpuLegislature"/>
      </w:pPr>
      <w:r>
        <w:t>219th LEGISLATURE</w:t>
      </w:r>
    </w:p>
    <w:p w:rsidR="002B0C36" w:rsidRDefault="002B0C36" w:rsidP="002B0C36">
      <w:pPr>
        <w:pStyle w:val="bpuWpGraphic"/>
      </w:pPr>
      <w:r>
        <w:object w:dxaOrig="8985" w:dyaOrig="255">
          <v:shape id="_x0000_i1026" type="#_x0000_t75" style="width:6in;height:12pt" o:ole="">
            <v:imagedata r:id="rId6" o:title=""/>
          </v:shape>
          <o:OLEObject Type="Embed" ProgID="WPWin6.1" ShapeID="_x0000_i1026" DrawAspect="Content" ObjectID="_1686462627" r:id="rId8"/>
        </w:object>
      </w:r>
      <w:r>
        <w:t xml:space="preserve">  </w:t>
      </w:r>
    </w:p>
    <w:p w:rsidR="002B0C36" w:rsidRDefault="002B0C36" w:rsidP="002B0C36">
      <w:pPr>
        <w:pStyle w:val="bpuIntro"/>
      </w:pPr>
      <w:r>
        <w:t>INTRODUCED AUGUST 24, 2020</w:t>
      </w:r>
    </w:p>
    <w:p w:rsidR="002B0C36" w:rsidRDefault="002B0C36" w:rsidP="002B0C36">
      <w:pPr>
        <w:pStyle w:val="bpuIntro"/>
      </w:pPr>
    </w:p>
    <w:p w:rsidR="002B0C36" w:rsidRDefault="002B0C36" w:rsidP="002B0C36">
      <w:pPr>
        <w:pStyle w:val="bpuIntro"/>
        <w:sectPr w:rsidR="002B0C36" w:rsidSect="00EB163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0C36" w:rsidRDefault="002B0C36" w:rsidP="002B0C36">
      <w:pPr>
        <w:pStyle w:val="bpuIntro"/>
      </w:pPr>
    </w:p>
    <w:p w:rsidR="002B0C36" w:rsidRDefault="002B0C36" w:rsidP="002B0C36">
      <w:pPr>
        <w:pStyle w:val="bpuSponsor"/>
      </w:pPr>
      <w:r>
        <w:t>Sponsored by:</w:t>
      </w:r>
    </w:p>
    <w:p w:rsidR="002B0C36" w:rsidRDefault="002B0C36" w:rsidP="002B0C36">
      <w:pPr>
        <w:pStyle w:val="bpuSponsor"/>
      </w:pPr>
      <w:r>
        <w:t>Assemblywoman  VERLINA REYNOLDS-JACKSON</w:t>
      </w:r>
    </w:p>
    <w:p w:rsidR="002B0C36" w:rsidRDefault="002B0C36" w:rsidP="002B0C36">
      <w:pPr>
        <w:pStyle w:val="bpuSponsor"/>
      </w:pPr>
      <w:r>
        <w:t>District 15 (Hunterdon and Mercer)</w:t>
      </w:r>
    </w:p>
    <w:p w:rsidR="002B0C36" w:rsidRDefault="002F1645" w:rsidP="002F1645">
      <w:pPr>
        <w:pStyle w:val="bpuSponsor"/>
      </w:pPr>
      <w:r>
        <w:t>Assemblyman  DANIEL R. BENSON</w:t>
      </w:r>
    </w:p>
    <w:p w:rsidR="002F1645" w:rsidRDefault="002F1645" w:rsidP="002F1645">
      <w:pPr>
        <w:pStyle w:val="bpuSponsor"/>
      </w:pPr>
      <w:r>
        <w:t>District 14 (Mercer and Middlesex)</w:t>
      </w:r>
    </w:p>
    <w:p w:rsidR="002F1645" w:rsidRDefault="00EB1632" w:rsidP="00EB1632">
      <w:pPr>
        <w:pStyle w:val="bpuSponsor"/>
      </w:pPr>
      <w:r>
        <w:t>Assemblyman  ROBERT J. KARABINCHAK</w:t>
      </w:r>
    </w:p>
    <w:p w:rsidR="00EB1632" w:rsidRDefault="00EB1632" w:rsidP="00EB1632">
      <w:pPr>
        <w:pStyle w:val="bpuSponsor"/>
      </w:pPr>
      <w:r>
        <w:t>District 18 (Middlesex)</w:t>
      </w:r>
    </w:p>
    <w:p w:rsidR="00EB1632" w:rsidRPr="00EB1632" w:rsidRDefault="00EB1632" w:rsidP="00EB1632">
      <w:pPr>
        <w:pStyle w:val="bpuSponsor"/>
      </w:pPr>
    </w:p>
    <w:p w:rsidR="002B0C36" w:rsidRDefault="00965B1C" w:rsidP="00965B1C">
      <w:pPr>
        <w:pStyle w:val="bpuSponsor"/>
      </w:pPr>
      <w:r>
        <w:t>Co-Sponsored by:</w:t>
      </w:r>
    </w:p>
    <w:p w:rsidR="00965B1C" w:rsidRDefault="00965B1C" w:rsidP="00965B1C">
      <w:pPr>
        <w:pStyle w:val="bpuSponsor"/>
      </w:pPr>
      <w:r w:rsidRPr="00965B1C">
        <w:t xml:space="preserve">Assemblywoman Speight, Assemblymen Johnson, </w:t>
      </w:r>
      <w:proofErr w:type="spellStart"/>
      <w:r w:rsidRPr="00965B1C">
        <w:t>Wimberly</w:t>
      </w:r>
      <w:proofErr w:type="spellEnd"/>
      <w:r w:rsidRPr="00965B1C">
        <w:t xml:space="preserve"> and </w:t>
      </w:r>
      <w:proofErr w:type="spellStart"/>
      <w:r w:rsidRPr="00965B1C">
        <w:t>Houghtaling</w:t>
      </w:r>
      <w:proofErr w:type="spellEnd"/>
    </w:p>
    <w:p w:rsidR="00965B1C" w:rsidRDefault="00965B1C" w:rsidP="00965B1C"/>
    <w:p w:rsidR="00965B1C" w:rsidRPr="00965B1C" w:rsidRDefault="00965B1C" w:rsidP="00965B1C">
      <w:bookmarkStart w:id="1" w:name="_GoBack"/>
      <w:bookmarkEnd w:id="1"/>
    </w:p>
    <w:p w:rsidR="002B0C36" w:rsidRDefault="002B0C36" w:rsidP="002B0C36">
      <w:pPr>
        <w:pStyle w:val="bpuSponsor"/>
      </w:pPr>
    </w:p>
    <w:p w:rsidR="002B0C36" w:rsidRDefault="002B0C36" w:rsidP="002B0C36">
      <w:pPr>
        <w:pStyle w:val="bpuSponsor"/>
      </w:pPr>
    </w:p>
    <w:p w:rsidR="002B0C36" w:rsidRDefault="002B0C36" w:rsidP="002B0C36">
      <w:pPr>
        <w:pStyle w:val="bpuSponsor"/>
      </w:pPr>
      <w:r>
        <w:t>SYNOPSIS</w:t>
      </w:r>
    </w:p>
    <w:p w:rsidR="002B0C36" w:rsidRDefault="002B0C36" w:rsidP="002B0C36">
      <w:pPr>
        <w:pStyle w:val="bpuNormText"/>
      </w:pPr>
      <w:r>
        <w:tab/>
        <w:t xml:space="preserve">Requires electric power suppliers and gas suppliers to receive written </w:t>
      </w:r>
      <w:r w:rsidR="00B75FE7">
        <w:t xml:space="preserve">or electronic </w:t>
      </w:r>
      <w:r>
        <w:t>signature from person prior to switching provision of electric generation service or gas supply service.</w:t>
      </w:r>
    </w:p>
    <w:p w:rsidR="002B0C36" w:rsidRDefault="002B0C36" w:rsidP="002B0C36">
      <w:pPr>
        <w:pStyle w:val="bpuNormText"/>
      </w:pPr>
    </w:p>
    <w:p w:rsidR="002B0C36" w:rsidRDefault="002B0C36" w:rsidP="002B0C36">
      <w:pPr>
        <w:pStyle w:val="bpuSponsor"/>
      </w:pPr>
      <w:r>
        <w:t xml:space="preserve">CURRENT VERSION OF TEXT </w:t>
      </w:r>
    </w:p>
    <w:p w:rsidR="002B0C36" w:rsidRDefault="00B749F7" w:rsidP="002B0C36">
      <w:pPr>
        <w:pStyle w:val="bpuNormText"/>
      </w:pPr>
      <w:r>
        <w:tab/>
        <w:t>As reported by the Assembly Telecommunications and Utilities Committee on February 24, 2021, with amendments.</w:t>
      </w:r>
    </w:p>
    <w:p w:rsidR="002B0C36" w:rsidRDefault="002B0C36" w:rsidP="002B0C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0C36" w:rsidRDefault="002B0C36" w:rsidP="008916EC">
      <w:pPr>
        <w:pStyle w:val="FronterPage"/>
        <w:tabs>
          <w:tab w:val="clear" w:pos="720"/>
          <w:tab w:val="clear" w:pos="1440"/>
          <w:tab w:val="clear" w:pos="2160"/>
          <w:tab w:val="clear" w:pos="2880"/>
          <w:tab w:val="clear" w:pos="3600"/>
          <w:tab w:val="clear" w:pos="4320"/>
          <w:tab w:val="clear" w:pos="5040"/>
        </w:tabs>
        <w:sectPr w:rsidR="002B0C36" w:rsidSect="002B0C36">
          <w:type w:val="continuous"/>
          <w:pgSz w:w="12240" w:h="20160" w:code="5"/>
          <w:pgMar w:top="1440" w:right="2275" w:bottom="1440" w:left="2275" w:header="72" w:footer="720" w:gutter="0"/>
          <w:pgNumType w:start="1"/>
          <w:cols w:space="720"/>
          <w:docGrid w:linePitch="360"/>
        </w:sectPr>
      </w:pPr>
    </w:p>
    <w:p w:rsidR="00686AEB" w:rsidRPr="00677316" w:rsidRDefault="00625BAC" w:rsidP="003E47BA">
      <w:pPr>
        <w:pStyle w:val="HangingAnAct"/>
        <w:rPr>
          <w:rStyle w:val="HangingAnActChar"/>
        </w:rPr>
      </w:pPr>
      <w:r>
        <w:rPr>
          <w:rStyle w:val="BillHead"/>
        </w:rPr>
        <w:lastRenderedPageBreak/>
        <w:t>An Act</w:t>
      </w:r>
      <w:r w:rsidR="00686AEB" w:rsidRPr="006B7FA7">
        <w:rPr>
          <w:rStyle w:val="HangingAnActChar"/>
        </w:rPr>
        <w:t xml:space="preserve"> </w:t>
      </w:r>
      <w:r w:rsidR="005F3120" w:rsidRPr="005F3120">
        <w:rPr>
          <w:rStyle w:val="HangingAnActChar"/>
        </w:rPr>
        <w:t>concerning the provision of electric generation service and gas supply service and amending P.L.1999, c.23.</w:t>
      </w:r>
    </w:p>
    <w:p w:rsidR="000B1054" w:rsidRPr="00D71D68" w:rsidRDefault="000B1054" w:rsidP="000B1054"/>
    <w:p w:rsidR="00686AEB" w:rsidRPr="00AA7880" w:rsidRDefault="00686AEB" w:rsidP="00686AEB">
      <w:r>
        <w:tab/>
      </w:r>
      <w:r w:rsidR="00625BAC">
        <w:rPr>
          <w:rStyle w:val="BillHeading2"/>
        </w:rPr>
        <w:t>Be It Enacted</w:t>
      </w:r>
      <w:r>
        <w:rPr>
          <w:rStyle w:val="BillHeading2"/>
        </w:rPr>
        <w:t xml:space="preserve"> </w:t>
      </w:r>
      <w:r w:rsidR="00625BAC">
        <w:rPr>
          <w:rStyle w:val="BillLanguage"/>
        </w:rPr>
        <w:t>by the Senate and General Assembly of the State of New Jersey:</w:t>
      </w:r>
    </w:p>
    <w:p w:rsidR="00686AEB" w:rsidRPr="00D71D68" w:rsidRDefault="00686AEB" w:rsidP="00686AEB"/>
    <w:p w:rsidR="00B749F7" w:rsidRDefault="00B749F7" w:rsidP="00B749F7">
      <w:r>
        <w:tab/>
        <w:t>1.</w:t>
      </w:r>
      <w:r>
        <w:tab/>
        <w:t>Section 36 of P.L.1999, c.23 (C.48:3-85) is amended to read as follows:</w:t>
      </w:r>
    </w:p>
    <w:p w:rsidR="00B749F7" w:rsidRDefault="00B749F7" w:rsidP="00B749F7">
      <w:pPr>
        <w:tabs>
          <w:tab w:val="clear" w:pos="1440"/>
          <w:tab w:val="left" w:pos="1080"/>
        </w:tabs>
      </w:pPr>
      <w:r>
        <w:tab/>
        <w:t>36.</w:t>
      </w:r>
      <w:r>
        <w:tab/>
        <w:t>a.</w:t>
      </w:r>
      <w:r>
        <w:tab/>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B749F7" w:rsidRDefault="00B749F7" w:rsidP="00B749F7">
      <w:pPr>
        <w:tabs>
          <w:tab w:val="clear" w:pos="1440"/>
          <w:tab w:val="left" w:pos="1260"/>
        </w:tabs>
      </w:pPr>
      <w:r>
        <w:tab/>
        <w:t>(1)</w:t>
      </w:r>
      <w:r>
        <w:tab/>
        <w:t>(a)</w:t>
      </w:r>
      <w:r>
        <w:tab/>
        <w:t xml:space="preserve">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w:t>
      </w:r>
      <w:proofErr w:type="spellStart"/>
      <w:r>
        <w:t>therm</w:t>
      </w:r>
      <w:proofErr w:type="spellEnd"/>
      <w:r>
        <w:t xml:space="preserve"> or other pricing determinant approved by the board; use a 12-point font; provide a one-page information sheet in a 12-point font summarizing the material terms and conditions of the contract in English and Spanish, as determined by the board; 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signature </w:t>
      </w:r>
      <w:r w:rsidRPr="008664C9">
        <w:rPr>
          <w:rFonts w:ascii="Albertus Extra Bold" w:hAnsi="Albertus Extra Bold"/>
          <w:b/>
        </w:rPr>
        <w:t>[</w:t>
      </w:r>
      <w:r>
        <w:t xml:space="preserve">or electronic signature; an audio </w:t>
      </w:r>
      <w:r w:rsidR="001C08E8">
        <w:br w:type="page"/>
      </w:r>
      <w:r>
        <w:t>recording of a telephone call initiated by the customer; 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 for</w:t>
      </w:r>
      <w:r w:rsidRPr="00D14691">
        <w:rPr>
          <w:rFonts w:ascii="Albertus Extra Bold" w:hAnsi="Albertus Extra Bold"/>
          <w:b/>
        </w:rPr>
        <w:t>]</w:t>
      </w:r>
      <w:r>
        <w:t xml:space="preserve"> </w:t>
      </w:r>
      <w:r>
        <w:rPr>
          <w:rFonts w:ascii="Albertus Extra Bold" w:hAnsi="Albertus Extra Bold"/>
          <w:b/>
          <w:vertAlign w:val="superscript"/>
        </w:rPr>
        <w:t>1</w:t>
      </w:r>
      <w:r w:rsidRPr="00107D57">
        <w:rPr>
          <w:u w:val="single"/>
        </w:rPr>
        <w:t>or electronic signature</w:t>
      </w:r>
      <w:r>
        <w:rPr>
          <w:rFonts w:ascii="Albertus Extra Bold" w:hAnsi="Albertus Extra Bold"/>
          <w:b/>
          <w:vertAlign w:val="superscript"/>
        </w:rPr>
        <w:t>1</w:t>
      </w:r>
      <w:r>
        <w:t xml:space="preserve"> </w:t>
      </w:r>
      <w:r w:rsidRPr="00D14691">
        <w:rPr>
          <w:u w:val="single"/>
        </w:rPr>
        <w:t>prior to</w:t>
      </w:r>
      <w:r>
        <w:t xml:space="preserve"> 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B749F7" w:rsidRDefault="00B749F7" w:rsidP="00B749F7">
      <w:r>
        <w:tab/>
        <w:t>(b)</w:t>
      </w:r>
      <w:r>
        <w:tab/>
        <w:t xml:space="preserve">As used in this paragraph, "customer" means a residential customer or a commercial electric customer with a cumulative peak load of 50 kilowatts or less, or a commercial gas customer with a cumulative peak load of 5,000 </w:t>
      </w:r>
      <w:proofErr w:type="spellStart"/>
      <w:r>
        <w:t>therms</w:t>
      </w:r>
      <w:proofErr w:type="spellEnd"/>
      <w:r>
        <w:t xml:space="preserve"> or less.</w:t>
      </w:r>
    </w:p>
    <w:p w:rsidR="00B749F7" w:rsidRDefault="00B749F7" w:rsidP="00B749F7">
      <w:r>
        <w:tab/>
        <w:t>(2)</w:t>
      </w:r>
      <w:r>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B749F7" w:rsidRDefault="00B749F7" w:rsidP="00B749F7">
      <w:r>
        <w:tab/>
        <w:t>(3)</w:t>
      </w:r>
      <w:r>
        <w:tab/>
        <w:t xml:space="preserve">Advertising standards for electric power suppliers or gas suppliers shall provide, at a minimum, that optional charges to the customer will not be added to any advertised cost per kilowatt hour or per </w:t>
      </w:r>
      <w:proofErr w:type="spellStart"/>
      <w:r>
        <w:t>therm</w:t>
      </w:r>
      <w:proofErr w:type="spellEnd"/>
      <w:r>
        <w:t xml:space="preserve">, and that the only unit of measurement that may be used in advertisements is cost per kilowatt hour or per </w:t>
      </w:r>
      <w:proofErr w:type="spellStart"/>
      <w:r>
        <w:t>therm</w:t>
      </w:r>
      <w:proofErr w:type="spellEnd"/>
      <w:r>
        <w:t xml:space="preserve">, unless otherwise approved by the board.  If an electric power supplier or gas supplier does not advertise using cost per kilowatt hour or per </w:t>
      </w:r>
      <w:proofErr w:type="spellStart"/>
      <w:r>
        <w:t>therm</w:t>
      </w:r>
      <w:proofErr w:type="spellEnd"/>
      <w:r>
        <w:t>, the electric power supplier or gas supplier shall provide, at the customer's request, an estimate of the cost per kilowatt hour or per therm.  Any optional charges to the customer shall be identified separately and denoted as optional.</w:t>
      </w:r>
    </w:p>
    <w:p w:rsidR="00B749F7" w:rsidRDefault="00B749F7" w:rsidP="00B749F7">
      <w:r>
        <w:tab/>
        <w:t>(4)</w:t>
      </w:r>
      <w:r>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B749F7" w:rsidRDefault="00B749F7" w:rsidP="00B749F7">
      <w:r>
        <w:tab/>
        <w:t>(5)</w:t>
      </w:r>
      <w:r>
        <w:tab/>
        <w:t>Billing standards shall include, at a minimum, provisions prohibiting electric public utilities, gas public utilities, electric power suppliers, and gas suppliers from charging a fee to residential customers for either the commencement or termination of electric generation service or gas supply service.</w:t>
      </w:r>
    </w:p>
    <w:p w:rsidR="00B749F7" w:rsidRDefault="00B749F7" w:rsidP="00B749F7">
      <w:pPr>
        <w:tabs>
          <w:tab w:val="clear" w:pos="1440"/>
          <w:tab w:val="left" w:pos="1170"/>
        </w:tabs>
      </w:pPr>
      <w:r>
        <w:tab/>
        <w:t>b.</w:t>
      </w:r>
      <w:r>
        <w:tab/>
        <w:t>(1)</w:t>
      </w:r>
      <w:r>
        <w:tab/>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B749F7" w:rsidRDefault="00B749F7" w:rsidP="00B749F7">
      <w:pPr>
        <w:tabs>
          <w:tab w:val="clear" w:pos="1440"/>
          <w:tab w:val="left" w:pos="1170"/>
        </w:tabs>
      </w:pPr>
      <w:r>
        <w:tab/>
        <w:t>(2)</w:t>
      </w:r>
      <w:r>
        <w:tab/>
        <w:t>(a)</w:t>
      </w:r>
      <w:r>
        <w:tab/>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w:t>
      </w:r>
      <w:r w:rsidRPr="00D14691">
        <w:rPr>
          <w:u w:val="single"/>
        </w:rPr>
        <w:t>C.</w:t>
      </w:r>
      <w:r>
        <w:t xml:space="preserve">48:3-92; and </w:t>
      </w:r>
      <w:r w:rsidRPr="00D14691">
        <w:rPr>
          <w:u w:val="single"/>
        </w:rPr>
        <w:t>C.</w:t>
      </w:r>
      <w:r>
        <w:t>48:3-94).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customer information disclosed pursuant to this paragraph shall not be considered a government record for the purposes of, and shall be exempt from the provisions of P.L.2001, c.404 (C.47:1A-5 et al.).</w:t>
      </w:r>
    </w:p>
    <w:p w:rsidR="00B749F7" w:rsidRDefault="00B749F7" w:rsidP="00B749F7">
      <w:r>
        <w:tab/>
        <w:t>(b)</w:t>
      </w:r>
      <w:r>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B749F7" w:rsidRDefault="00B749F7" w:rsidP="00B749F7">
      <w:r>
        <w:tab/>
        <w:t>(c)</w:t>
      </w:r>
      <w:r>
        <w:tab/>
        <w:t xml:space="preserve">Any person using any information disclosed pursuant to this paragraph for any purpose other than to establish a government energy aggregation program pursuant to sections 42, 43, and 45 of P.L.1999, c.23 (C.48:3-91; </w:t>
      </w:r>
      <w:r w:rsidRPr="00BA4295">
        <w:rPr>
          <w:u w:val="single"/>
        </w:rPr>
        <w:t>C.</w:t>
      </w:r>
      <w:r>
        <w:t xml:space="preserve">48:3-92; and </w:t>
      </w:r>
      <w:r w:rsidRPr="00BA4295">
        <w:rPr>
          <w:u w:val="single"/>
        </w:rPr>
        <w:t>C.</w:t>
      </w:r>
      <w:r>
        <w:t>48:3-94) shall be subject to the provisions of section 34 of P.L.1999, c.23 (C.48:3-83).</w:t>
      </w:r>
    </w:p>
    <w:p w:rsidR="00B749F7" w:rsidRDefault="00B749F7" w:rsidP="00B749F7">
      <w:r>
        <w:tab/>
        <w:t>(d)</w:t>
      </w:r>
      <w:r>
        <w:tab/>
        <w:t>The role of an electric public utility or a gas public utility in a government energy aggregation program established pursuant to P.L.1999, c.23 (C.48:3-49 et al.) shall be limited to the provisions of this paragraph.</w:t>
      </w:r>
    </w:p>
    <w:p w:rsidR="00B749F7" w:rsidRDefault="00B749F7" w:rsidP="00B749F7">
      <w:r>
        <w:tab/>
        <w:t>(3)</w:t>
      </w:r>
      <w:r>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related service to that customer. In the case of a transfer or sale of a business, customer consent shall not be required for the transfer of customer proprietary information to the subsequent owner of the business for maintaining the continuation of those services.</w:t>
      </w:r>
    </w:p>
    <w:p w:rsidR="00B749F7" w:rsidRDefault="00B749F7" w:rsidP="00B749F7">
      <w:r>
        <w:tab/>
        <w:t>(4)</w:t>
      </w:r>
      <w:r>
        <w:tab/>
        <w:t xml:space="preserve">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w:t>
      </w:r>
      <w:r w:rsidRPr="005C6760">
        <w:rPr>
          <w:rFonts w:ascii="Albertus Extra Bold" w:hAnsi="Albertus Extra Bold"/>
          <w:b/>
        </w:rPr>
        <w:t>[</w:t>
      </w:r>
      <w:r>
        <w:t>Standards</w:t>
      </w:r>
      <w:r w:rsidRPr="005C6760">
        <w:rPr>
          <w:rFonts w:ascii="Albertus Extra Bold" w:hAnsi="Albertus Extra Bold"/>
          <w:b/>
        </w:rPr>
        <w:t>]</w:t>
      </w:r>
      <w:r>
        <w:t>),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B749F7" w:rsidRDefault="00B749F7" w:rsidP="00B749F7">
      <w:r>
        <w:tab/>
        <w:t>(5)</w:t>
      </w:r>
      <w:r>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B749F7" w:rsidRDefault="00B749F7" w:rsidP="00B749F7">
      <w:r>
        <w:tab/>
        <w:t>(a)</w:t>
      </w:r>
      <w:r>
        <w:tab/>
        <w:t>Initiate, render, bill, and collect for these services to the extent otherwise authorized to provide billing and collection services;</w:t>
      </w:r>
    </w:p>
    <w:p w:rsidR="00B749F7" w:rsidRDefault="00B749F7" w:rsidP="00B749F7">
      <w:r>
        <w:tab/>
        <w:t>(b)</w:t>
      </w:r>
      <w:r>
        <w:tab/>
        <w:t>Protect the rights or property of the electric power supplier, gas supplier, or public utility; and</w:t>
      </w:r>
    </w:p>
    <w:p w:rsidR="00B749F7" w:rsidRDefault="00B749F7" w:rsidP="00B749F7">
      <w:r>
        <w:tab/>
        <w:t>(c)</w:t>
      </w:r>
      <w:r>
        <w:tab/>
        <w:t>Protect consumers of these services and other electric power suppliers, gas suppliers, or electric and gas public utilities from fraudulent, abusive, or unlawful use of, or subscription to, these services.</w:t>
      </w:r>
    </w:p>
    <w:p w:rsidR="00B749F7" w:rsidRDefault="00B749F7" w:rsidP="00B749F7">
      <w:r>
        <w:tab/>
        <w:t>c.</w:t>
      </w:r>
      <w:r>
        <w:tab/>
        <w:t>The board shall establish and maintain a database for the purpose of recording customer complaints concerning electric and gas public utilities, electric power suppliers, gas suppliers, private aggregators, and energy agents.</w:t>
      </w:r>
    </w:p>
    <w:p w:rsidR="00B749F7" w:rsidRDefault="00B749F7" w:rsidP="00B749F7">
      <w:r>
        <w:tab/>
        <w:t>d.</w:t>
      </w:r>
      <w:r>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industries. 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B749F7" w:rsidRDefault="00B749F7" w:rsidP="00B749F7">
      <w:r>
        <w:tab/>
        <w:t>The board shall ensure the neutrality of the content and message of advertisements and materials.</w:t>
      </w:r>
    </w:p>
    <w:p w:rsidR="00B749F7" w:rsidRDefault="00B749F7" w:rsidP="00B749F7">
      <w:r>
        <w:tab/>
        <w:t>The board shall promulgate standards for the recovery of consumer education program costs from customers which include reasonable measures and criteria to judge the success of the program in enhancing customer understanding of retail choice.</w:t>
      </w:r>
    </w:p>
    <w:p w:rsidR="00B749F7" w:rsidRDefault="00B749F7" w:rsidP="00B749F7">
      <w:r>
        <w:tab/>
        <w:t>e.</w:t>
      </w:r>
      <w:r>
        <w:tab/>
        <w:t>(Deleted by amendment, P.L.2003, c.24).</w:t>
      </w:r>
    </w:p>
    <w:p w:rsidR="00B749F7" w:rsidRDefault="00B749F7" w:rsidP="00B749F7">
      <w:r>
        <w:tab/>
        <w:t>f.</w:t>
      </w:r>
      <w:r>
        <w:tab/>
        <w:t>(1) 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 et seq.) 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B749F7" w:rsidRDefault="00B749F7" w:rsidP="00B749F7">
      <w:r>
        <w:tab/>
        <w:t>(2)</w:t>
      </w:r>
      <w:r>
        <w:tab/>
        <w:t>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power supplier or gas supplier.  An electric power supplier, gas supplier, broker, energy agent, marketer, private aggregator, sales representative, or telemarketer 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B749F7" w:rsidRDefault="00B749F7" w:rsidP="00B749F7">
      <w:r>
        <w:t>(</w:t>
      </w:r>
      <w:proofErr w:type="spellStart"/>
      <w:r>
        <w:t>cf</w:t>
      </w:r>
      <w:proofErr w:type="spellEnd"/>
      <w:r>
        <w:t>: P.L.2015, c.164, s.1)</w:t>
      </w:r>
    </w:p>
    <w:p w:rsidR="005C6760" w:rsidRDefault="005C6760" w:rsidP="00DB3C13"/>
    <w:p w:rsidR="008E0B3A" w:rsidRDefault="008E0B3A" w:rsidP="008E0B3A">
      <w:r>
        <w:tab/>
        <w:t>2.</w:t>
      </w:r>
      <w:r>
        <w:tab/>
        <w:t>Section 37 of P.L.1999, c.23 (C.48:3-86) is amended to read as follows:</w:t>
      </w:r>
    </w:p>
    <w:p w:rsidR="008E0B3A" w:rsidRDefault="008E0B3A" w:rsidP="008E0B3A">
      <w:pPr>
        <w:tabs>
          <w:tab w:val="clear" w:pos="1440"/>
          <w:tab w:val="left" w:pos="1080"/>
        </w:tabs>
      </w:pPr>
      <w:r>
        <w:tab/>
        <w:t>37.</w:t>
      </w:r>
      <w:r>
        <w:tab/>
        <w:t>a.</w:t>
      </w:r>
      <w:r>
        <w:tab/>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w:t>
      </w:r>
    </w:p>
    <w:p w:rsidR="008E0B3A" w:rsidRDefault="008E0B3A" w:rsidP="008E0B3A">
      <w:r>
        <w:tab/>
        <w:t>b.</w:t>
      </w:r>
      <w:r>
        <w:tab/>
        <w:t xml:space="preserve">Standards for the prohibition of unauthorized changes in a customer's electric power supplier or gas supplier shall include: </w:t>
      </w:r>
    </w:p>
    <w:p w:rsidR="008E0B3A" w:rsidRDefault="008E0B3A" w:rsidP="008E0B3A">
      <w:r>
        <w:tab/>
        <w:t>(1)</w:t>
      </w:r>
      <w:r>
        <w:tab/>
        <w:t xml:space="preserve">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w:t>
      </w:r>
      <w:r w:rsidRPr="00F119D4">
        <w:rPr>
          <w:u w:val="single"/>
        </w:rPr>
        <w:t>electric power</w:t>
      </w:r>
      <w:r>
        <w:t xml:space="preserve"> supplier </w:t>
      </w:r>
      <w:r w:rsidRPr="00D92BC5">
        <w:rPr>
          <w:u w:val="single"/>
        </w:rPr>
        <w:t>or gas supplier</w:t>
      </w:r>
      <w:r>
        <w:t xml:space="preserve"> has obtained the customer's approval, which approval shall be evidenced by the customer's written signature </w:t>
      </w:r>
      <w:r w:rsidRPr="00AD06A7">
        <w:rPr>
          <w:rFonts w:ascii="Albertus Extra Bold" w:hAnsi="Albertus Extra Bold"/>
          <w:b/>
        </w:rPr>
        <w:t>[</w:t>
      </w:r>
      <w:r>
        <w:t>; the customer's electronic signature; an audio recording of a telephone call initiated by the customer; independent, third-party verification, in accordance with paragraph (2) of this subsection, of a telephone call initiated by an electric power supplier, electric public utility, gas supplier or gas public utility; or such alternative forms of verification as the board, in consultation with the Division of Consumer Affairs, may permit</w:t>
      </w:r>
      <w:r w:rsidRPr="00972DFF">
        <w:rPr>
          <w:rFonts w:ascii="Albertus Extra Bold" w:hAnsi="Albertus Extra Bold"/>
          <w:b/>
        </w:rPr>
        <w:t>]</w:t>
      </w:r>
      <w:r>
        <w:t xml:space="preserve"> </w:t>
      </w:r>
      <w:r>
        <w:rPr>
          <w:rFonts w:ascii="Albertus Extra Bold" w:hAnsi="Albertus Extra Bold"/>
          <w:b/>
          <w:vertAlign w:val="superscript"/>
        </w:rPr>
        <w:t>1</w:t>
      </w:r>
      <w:r w:rsidRPr="00107D57">
        <w:rPr>
          <w:u w:val="single"/>
        </w:rPr>
        <w:t>or electronic signature</w:t>
      </w:r>
      <w:r>
        <w:rPr>
          <w:rFonts w:ascii="Albertus Extra Bold" w:hAnsi="Albertus Extra Bold"/>
          <w:b/>
          <w:vertAlign w:val="superscript"/>
        </w:rPr>
        <w:t>1</w:t>
      </w:r>
      <w:r>
        <w:t xml:space="preserve"> </w:t>
      </w:r>
      <w:r w:rsidRPr="00D14691">
        <w:rPr>
          <w:u w:val="single"/>
        </w:rPr>
        <w:t>prior to</w:t>
      </w:r>
      <w:r w:rsidRPr="00972DFF">
        <w:rPr>
          <w:u w:val="single"/>
        </w:rPr>
        <w:t xml:space="preserve"> switching electric power suppliers or gas suppliers and for contract renewal</w:t>
      </w:r>
      <w:r>
        <w:t xml:space="preserve">; </w:t>
      </w:r>
    </w:p>
    <w:p w:rsidR="008E0B3A" w:rsidRDefault="008E0B3A" w:rsidP="008E0B3A">
      <w:pPr>
        <w:tabs>
          <w:tab w:val="clear" w:pos="1440"/>
          <w:tab w:val="left" w:pos="1260"/>
        </w:tabs>
      </w:pPr>
      <w:r>
        <w:tab/>
      </w:r>
      <w:r w:rsidRPr="003C1837">
        <w:t>(2)</w:t>
      </w:r>
      <w:r>
        <w:tab/>
      </w:r>
      <w:r w:rsidRPr="003C1837">
        <w:rPr>
          <w:rFonts w:ascii="Albertus Extra Bold" w:hAnsi="Albertus Extra Bold"/>
          <w:b/>
        </w:rPr>
        <w:t>[</w:t>
      </w:r>
      <w:r>
        <w:t>(a)</w:t>
      </w:r>
      <w:r>
        <w:tab/>
        <w:t>A company performing independent, third-party verification shall: (i)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8E0B3A" w:rsidRDefault="008E0B3A" w:rsidP="008E0B3A">
      <w:r>
        <w:tab/>
        <w:t>(b)</w:t>
      </w:r>
      <w: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Pr="00972DFF">
        <w:rPr>
          <w:rFonts w:ascii="Albertus Extra Bold" w:hAnsi="Albertus Extra Bold"/>
          <w:b/>
        </w:rPr>
        <w:t>]</w:t>
      </w:r>
      <w:r>
        <w:t xml:space="preserve"> </w:t>
      </w:r>
      <w:r w:rsidRPr="00972DFF">
        <w:rPr>
          <w:u w:val="single"/>
        </w:rPr>
        <w:t>(Deleted by amendment, P.L.</w:t>
      </w:r>
      <w:r>
        <w:rPr>
          <w:u w:val="single"/>
        </w:rPr>
        <w:t>    </w:t>
      </w:r>
      <w:r w:rsidRPr="00972DFF">
        <w:rPr>
          <w:u w:val="single"/>
        </w:rPr>
        <w:t>,</w:t>
      </w:r>
      <w:r>
        <w:rPr>
          <w:u w:val="single"/>
        </w:rPr>
        <w:t> </w:t>
      </w:r>
      <w:r w:rsidRPr="00972DFF">
        <w:rPr>
          <w:u w:val="single"/>
        </w:rPr>
        <w:t>c.</w:t>
      </w:r>
      <w:r>
        <w:rPr>
          <w:u w:val="single"/>
        </w:rPr>
        <w:t>    </w:t>
      </w:r>
      <w:r w:rsidRPr="00972DFF">
        <w:rPr>
          <w:u w:val="single"/>
        </w:rPr>
        <w:t>)</w:t>
      </w:r>
      <w:r>
        <w:rPr>
          <w:u w:val="single"/>
        </w:rPr>
        <w:t> </w:t>
      </w:r>
      <w:r w:rsidRPr="00972DFF">
        <w:rPr>
          <w:u w:val="single"/>
        </w:rPr>
        <w:t>(pending</w:t>
      </w:r>
      <w:r>
        <w:rPr>
          <w:u w:val="single"/>
        </w:rPr>
        <w:t> </w:t>
      </w:r>
      <w:r w:rsidRPr="00972DFF">
        <w:rPr>
          <w:u w:val="single"/>
        </w:rPr>
        <w:t>before</w:t>
      </w:r>
      <w:r>
        <w:rPr>
          <w:u w:val="single"/>
        </w:rPr>
        <w:t> </w:t>
      </w:r>
      <w:r w:rsidRPr="00972DFF">
        <w:rPr>
          <w:u w:val="single"/>
        </w:rPr>
        <w:t>the</w:t>
      </w:r>
      <w:r>
        <w:rPr>
          <w:u w:val="single"/>
        </w:rPr>
        <w:t> </w:t>
      </w:r>
      <w:r w:rsidRPr="00972DFF">
        <w:rPr>
          <w:u w:val="single"/>
        </w:rPr>
        <w:t>Legislature</w:t>
      </w:r>
      <w:r>
        <w:rPr>
          <w:u w:val="single"/>
        </w:rPr>
        <w:t> </w:t>
      </w:r>
      <w:r w:rsidRPr="00972DFF">
        <w:rPr>
          <w:u w:val="single"/>
        </w:rPr>
        <w:t>as</w:t>
      </w:r>
      <w:r>
        <w:rPr>
          <w:u w:val="single"/>
        </w:rPr>
        <w:t> </w:t>
      </w:r>
      <w:r w:rsidRPr="00972DFF">
        <w:rPr>
          <w:u w:val="single"/>
        </w:rPr>
        <w:t>this</w:t>
      </w:r>
      <w:r>
        <w:rPr>
          <w:u w:val="single"/>
        </w:rPr>
        <w:t> </w:t>
      </w:r>
      <w:r w:rsidRPr="00972DFF">
        <w:rPr>
          <w:u w:val="single"/>
        </w:rPr>
        <w:t>bill)</w:t>
      </w:r>
      <w:r>
        <w:t> </w:t>
      </w:r>
    </w:p>
    <w:p w:rsidR="008E0B3A" w:rsidRDefault="008E0B3A" w:rsidP="008E0B3A">
      <w:r>
        <w:tab/>
        <w:t>(3)</w:t>
      </w:r>
      <w:r>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as provided in this subsection; </w:t>
      </w:r>
    </w:p>
    <w:p w:rsidR="008E0B3A" w:rsidRDefault="008E0B3A" w:rsidP="008E0B3A">
      <w:r>
        <w:tab/>
        <w:t>(4)</w:t>
      </w:r>
      <w:r>
        <w:tab/>
        <w:t xml:space="preserve">The acts of an agent of an electric power supplier, an electric public utility, a gas supplier or a gas public utility shall be considered the acts of the electric power supplier, electric public utility, gas supplier or gas public utility. </w:t>
      </w:r>
    </w:p>
    <w:p w:rsidR="008E0B3A" w:rsidRDefault="008E0B3A" w:rsidP="008E0B3A">
      <w:r>
        <w:tab/>
        <w:t>c.</w:t>
      </w:r>
      <w:r>
        <w:tab/>
        <w:t xml:space="preserve">A customer's new electric power supplier, electric public utility, gas supplier or gas public utility shall notify the customer of the change in the customer's electric or gas supplier within 30 days in a manner to be determined by the board. </w:t>
      </w:r>
    </w:p>
    <w:p w:rsidR="008E0B3A" w:rsidRDefault="008E0B3A" w:rsidP="008E0B3A">
      <w:r>
        <w:tab/>
        <w:t>d.</w:t>
      </w:r>
      <w:r>
        <w:tab/>
        <w:t xml:space="preserve">Bills to customers from an electric power supplier, electric public utility, gas supplier or gas public utility shall contain the name and telephone number of each supplier for whom billing is provided, and any other information deemed applicable by the board. </w:t>
      </w:r>
    </w:p>
    <w:p w:rsidR="008E0B3A" w:rsidRDefault="008E0B3A" w:rsidP="008E0B3A">
      <w:r>
        <w:tab/>
        <w:t>e.</w:t>
      </w:r>
      <w:r>
        <w:tab/>
        <w:t>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prescribe.  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8E0B3A" w:rsidRDefault="008E0B3A" w:rsidP="008E0B3A">
      <w:r>
        <w:t>(</w:t>
      </w:r>
      <w:proofErr w:type="spellStart"/>
      <w:r>
        <w:t>cf</w:t>
      </w:r>
      <w:proofErr w:type="spellEnd"/>
      <w:r>
        <w:t>: P.L.2001, c.242, s.3)</w:t>
      </w:r>
    </w:p>
    <w:p w:rsidR="005C6760" w:rsidRDefault="005C6760" w:rsidP="005C6760"/>
    <w:p w:rsidR="001C08E8" w:rsidRDefault="001C08E8" w:rsidP="001C08E8">
      <w:r>
        <w:tab/>
        <w:t>3.</w:t>
      </w:r>
      <w:r>
        <w:tab/>
        <w:t>Section 41 of P.L.1999, c.23 (C.48:3-90) is amended to read as follows:</w:t>
      </w:r>
    </w:p>
    <w:p w:rsidR="001C08E8" w:rsidRDefault="001C08E8" w:rsidP="001C08E8">
      <w:pPr>
        <w:tabs>
          <w:tab w:val="clear" w:pos="1440"/>
          <w:tab w:val="left" w:pos="1080"/>
        </w:tabs>
      </w:pPr>
      <w:r>
        <w:tab/>
        <w:t>41.</w:t>
      </w:r>
      <w:r>
        <w:tab/>
        <w:t>a.</w:t>
      </w:r>
      <w:r>
        <w:tab/>
        <w:t>A private aggregator shall register with the board, which shall include the filing of basic information pertaining to the supplier, such as name, address, telephone number, and company background and profile. A private aggregator shall provide annual updates of this information to the board. The registration shall also include evidence of financial integrity, as determined by the board, and evidence that the private aggregator has knowledge of the energy industry.</w:t>
      </w:r>
    </w:p>
    <w:p w:rsidR="001C08E8" w:rsidRDefault="001C08E8" w:rsidP="001C08E8">
      <w:r>
        <w:tab/>
        <w:t>b.</w:t>
      </w:r>
      <w:r>
        <w:tab/>
        <w:t xml:space="preserve">Any residential customer that elects to purchase electric generation service or gas supply service, after the implementation of gas unbundling pursuant to section 10 of P.L.1999, c.23 (C.48:3-58), through a private aggregator must do so affirmatively and voluntarily, </w:t>
      </w:r>
      <w:r w:rsidRPr="00C46364">
        <w:rPr>
          <w:rFonts w:ascii="Albertus Extra Bold" w:hAnsi="Albertus Extra Bold"/>
          <w:b/>
        </w:rPr>
        <w:t>[</w:t>
      </w:r>
      <w:r>
        <w:t>either</w:t>
      </w:r>
      <w:r w:rsidRPr="00C46364">
        <w:rPr>
          <w:rFonts w:ascii="Albertus Extra Bold" w:hAnsi="Albertus Extra Bold"/>
          <w:b/>
        </w:rPr>
        <w:t>]</w:t>
      </w:r>
      <w:r>
        <w:t xml:space="preserve"> through </w:t>
      </w:r>
      <w:r>
        <w:rPr>
          <w:rFonts w:ascii="Albertus Extra Bold" w:hAnsi="Albertus Extra Bold"/>
          <w:b/>
          <w:vertAlign w:val="superscript"/>
        </w:rPr>
        <w:t>1</w:t>
      </w:r>
      <w:r w:rsidRPr="00754303">
        <w:rPr>
          <w:rFonts w:ascii="Albertus Extra Bold" w:hAnsi="Albertus Extra Bold"/>
          <w:b/>
        </w:rPr>
        <w:t>[</w:t>
      </w:r>
      <w:r>
        <w:t>a</w:t>
      </w:r>
      <w:r w:rsidRPr="00754303">
        <w:rPr>
          <w:rFonts w:ascii="Albertus Extra Bold" w:hAnsi="Albertus Extra Bold"/>
          <w:b/>
        </w:rPr>
        <w:t>]</w:t>
      </w:r>
      <w:r>
        <w:t xml:space="preserve"> </w:t>
      </w:r>
      <w:r w:rsidRPr="00754303">
        <w:rPr>
          <w:u w:val="single"/>
        </w:rPr>
        <w:t>the customer’s</w:t>
      </w:r>
      <w:r>
        <w:rPr>
          <w:rFonts w:ascii="Albertus Extra Bold" w:hAnsi="Albertus Extra Bold"/>
          <w:b/>
          <w:vertAlign w:val="superscript"/>
        </w:rPr>
        <w:t>1</w:t>
      </w:r>
      <w:r>
        <w:t xml:space="preserve"> written signature </w:t>
      </w:r>
      <w:r w:rsidRPr="007D6E93">
        <w:rPr>
          <w:rFonts w:ascii="Albertus Extra Bold" w:hAnsi="Albertus Extra Bold"/>
          <w:b/>
        </w:rPr>
        <w:t>[</w:t>
      </w:r>
      <w:r>
        <w:t>; the customer's electronic signature; an audio recording of a telephone call initiated by the customer; independent, third-party verification, in accordance with section 37 of P.L.1999, c.23 (C.48:3-86), of a telephone call initiated by a private aggregator; or such alternative forms of verification as the board, in consultation with the Division of Consumer Affairs in the Department of Law and Public Safety, may permit</w:t>
      </w:r>
      <w:r w:rsidRPr="00C46364">
        <w:rPr>
          <w:rFonts w:ascii="Albertus Extra Bold" w:hAnsi="Albertus Extra Bold"/>
          <w:b/>
        </w:rPr>
        <w:t>]</w:t>
      </w:r>
      <w:r>
        <w:t xml:space="preserve"> </w:t>
      </w:r>
      <w:r>
        <w:rPr>
          <w:rFonts w:ascii="Albertus Extra Bold" w:hAnsi="Albertus Extra Bold"/>
          <w:b/>
          <w:vertAlign w:val="superscript"/>
        </w:rPr>
        <w:t>1</w:t>
      </w:r>
      <w:r w:rsidRPr="00107D57">
        <w:rPr>
          <w:u w:val="single"/>
        </w:rPr>
        <w:t>or electronic signature</w:t>
      </w:r>
      <w:r>
        <w:rPr>
          <w:rFonts w:ascii="Albertus Extra Bold" w:hAnsi="Albertus Extra Bold"/>
          <w:b/>
          <w:vertAlign w:val="superscript"/>
        </w:rPr>
        <w:t>1</w:t>
      </w:r>
      <w:r>
        <w:t xml:space="preserve"> </w:t>
      </w:r>
      <w:r w:rsidRPr="00D14691">
        <w:rPr>
          <w:u w:val="single"/>
        </w:rPr>
        <w:t>prior to</w:t>
      </w:r>
      <w:r w:rsidRPr="00972DFF">
        <w:rPr>
          <w:u w:val="single"/>
        </w:rPr>
        <w:t xml:space="preserve"> switching electric power suppliers or gas suppliers and for contract renewal</w:t>
      </w:r>
      <w:r>
        <w:t>.</w:t>
      </w:r>
    </w:p>
    <w:p w:rsidR="001C08E8" w:rsidRDefault="001C08E8" w:rsidP="001C08E8">
      <w:r>
        <w:t>(</w:t>
      </w:r>
      <w:proofErr w:type="spellStart"/>
      <w:r>
        <w:t>cf</w:t>
      </w:r>
      <w:proofErr w:type="spellEnd"/>
      <w:r>
        <w:t>: P.L.2001, c.242, s.4)</w:t>
      </w:r>
    </w:p>
    <w:p w:rsidR="005C6760" w:rsidRDefault="005C6760" w:rsidP="00DB3C13"/>
    <w:p w:rsidR="00686AEB" w:rsidRDefault="00686AEB" w:rsidP="00686AEB">
      <w:r>
        <w:tab/>
      </w:r>
      <w:r w:rsidR="005C6760">
        <w:t>4.</w:t>
      </w:r>
      <w:r w:rsidR="005C6760">
        <w:tab/>
      </w:r>
      <w:r w:rsidR="00625BAC">
        <w:t>This act shall take effect</w:t>
      </w:r>
      <w:r w:rsidR="005C6760">
        <w:t xml:space="preserve"> immediately.</w:t>
      </w:r>
    </w:p>
    <w:sectPr w:rsidR="00686AEB" w:rsidSect="002B0C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CD4" w:rsidRDefault="00AA6CD4">
      <w:r>
        <w:separator/>
      </w:r>
    </w:p>
  </w:endnote>
  <w:endnote w:type="continuationSeparator" w:id="0">
    <w:p w:rsidR="00AA6CD4" w:rsidRDefault="00AA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45" w:rsidRDefault="00EB1632" w:rsidP="00EB163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BAC" w:rsidRPr="00921C91" w:rsidRDefault="00625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BAC" w:rsidRPr="00921C91" w:rsidRDefault="00625BAC">
    <w:pPr>
      <w:pStyle w:val="Footer"/>
      <w:rPr>
        <w:szCs w:val="18"/>
      </w:rPr>
    </w:pPr>
  </w:p>
  <w:p w:rsidR="00625BAC" w:rsidRPr="00921C91" w:rsidRDefault="00625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49F7" w:rsidRDefault="00B749F7" w:rsidP="00686AEB">
    <w:pPr>
      <w:pStyle w:val="Footer"/>
    </w:pPr>
    <w:r>
      <w:tab/>
      <w:t>Matter enclosed in superscript numerals has been adopted as follows:</w:t>
    </w:r>
  </w:p>
  <w:p w:rsidR="00B749F7" w:rsidRDefault="00B749F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February 24, 2021.</w:t>
    </w:r>
  </w:p>
  <w:p w:rsidR="00B749F7" w:rsidRPr="00B749F7" w:rsidRDefault="00B749F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CD4" w:rsidRDefault="00AA6CD4">
      <w:r>
        <w:separator/>
      </w:r>
    </w:p>
  </w:footnote>
  <w:footnote w:type="continuationSeparator" w:id="0">
    <w:p w:rsidR="00AA6CD4" w:rsidRDefault="00AA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3E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C36" w:rsidRDefault="002B0C36" w:rsidP="002B0C36">
    <w:pPr>
      <w:pStyle w:val="bpuHeadSpon"/>
    </w:pPr>
    <w:r w:rsidRPr="002B0C36">
      <w:rPr>
        <w:rStyle w:val="bpuHeadSponChar"/>
      </w:rPr>
      <w:t>A4569</w:t>
    </w:r>
    <w:r>
      <w:t xml:space="preserve"> </w:t>
    </w:r>
    <w:r w:rsidR="00B749F7">
      <w:t xml:space="preserve">[1R] </w:t>
    </w:r>
    <w:r>
      <w:t>REYNOLDS-JACKSON</w:t>
    </w:r>
    <w:r w:rsidR="002F1645">
      <w:t>, BENSON</w:t>
    </w:r>
  </w:p>
  <w:p w:rsidR="002B0C36" w:rsidRDefault="002B0C36" w:rsidP="002B0C36">
    <w:pPr>
      <w:pStyle w:val="bpuHeadSpon"/>
    </w:pPr>
    <w:r>
      <w:fldChar w:fldCharType="begin"/>
    </w:r>
    <w:r>
      <w:instrText xml:space="preserve"> PAGE  \* MERGEFORMAT </w:instrText>
    </w:r>
    <w:r>
      <w:fldChar w:fldCharType="separate"/>
    </w:r>
    <w:r w:rsidR="001A3BD9">
      <w:rPr>
        <w:noProof/>
      </w:rPr>
      <w:t>3</w:t>
    </w:r>
    <w:r>
      <w:fldChar w:fldCharType="end"/>
    </w:r>
  </w:p>
  <w:p w:rsidR="002B0C36" w:rsidRDefault="002B0C36" w:rsidP="002B0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0C36" w:rsidRDefault="002B0C36" w:rsidP="002B0C36">
    <w:pPr>
      <w:pStyle w:val="bpuHeadSpon"/>
    </w:pPr>
    <w:r w:rsidRPr="002B0C36">
      <w:rPr>
        <w:rStyle w:val="bpuHeadSponChar"/>
      </w:rPr>
      <w:t>A4569</w:t>
    </w:r>
    <w:r>
      <w:t xml:space="preserve"> </w:t>
    </w:r>
    <w:r w:rsidR="00B749F7">
      <w:t xml:space="preserve">[1R] </w:t>
    </w:r>
    <w:r>
      <w:t>REYNOLDS-JACKSON</w:t>
    </w:r>
    <w:r w:rsidR="002F1645">
      <w:t>, BENSON</w:t>
    </w:r>
  </w:p>
  <w:p w:rsidR="002B0C36" w:rsidRDefault="002B0C36" w:rsidP="002B0C36">
    <w:pPr>
      <w:pStyle w:val="bpuHeadSpon"/>
    </w:pPr>
    <w:r>
      <w:fldChar w:fldCharType="begin"/>
    </w:r>
    <w:r>
      <w:instrText xml:space="preserve"> PAGE  \* MERGEFORMAT </w:instrText>
    </w:r>
    <w:r>
      <w:fldChar w:fldCharType="separate"/>
    </w:r>
    <w:r w:rsidR="00473ED9">
      <w:rPr>
        <w:noProof/>
      </w:rPr>
      <w:t>2</w:t>
    </w:r>
    <w:r>
      <w:fldChar w:fldCharType="end"/>
    </w:r>
  </w:p>
  <w:p w:rsidR="002B0C36" w:rsidRDefault="002B0C36" w:rsidP="002B0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C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A3D"/>
    <w:rsid w:val="000D6255"/>
    <w:rsid w:val="000D6262"/>
    <w:rsid w:val="000D7B4A"/>
    <w:rsid w:val="000E4006"/>
    <w:rsid w:val="000F3DA2"/>
    <w:rsid w:val="000F5FDE"/>
    <w:rsid w:val="000F7466"/>
    <w:rsid w:val="00120FB7"/>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3BD9"/>
    <w:rsid w:val="001A66B6"/>
    <w:rsid w:val="001B4716"/>
    <w:rsid w:val="001B4EA4"/>
    <w:rsid w:val="001C08E8"/>
    <w:rsid w:val="001C7C52"/>
    <w:rsid w:val="001D25F3"/>
    <w:rsid w:val="001E15F1"/>
    <w:rsid w:val="001E16FA"/>
    <w:rsid w:val="001E6213"/>
    <w:rsid w:val="001F14C7"/>
    <w:rsid w:val="001F4355"/>
    <w:rsid w:val="001F7405"/>
    <w:rsid w:val="00205533"/>
    <w:rsid w:val="00212B8D"/>
    <w:rsid w:val="00222983"/>
    <w:rsid w:val="002370D0"/>
    <w:rsid w:val="00244ED8"/>
    <w:rsid w:val="00252C77"/>
    <w:rsid w:val="00255958"/>
    <w:rsid w:val="00257FA2"/>
    <w:rsid w:val="0026574A"/>
    <w:rsid w:val="002660BB"/>
    <w:rsid w:val="002720E8"/>
    <w:rsid w:val="00275293"/>
    <w:rsid w:val="002776B0"/>
    <w:rsid w:val="00286C7E"/>
    <w:rsid w:val="002952FB"/>
    <w:rsid w:val="002A1029"/>
    <w:rsid w:val="002A3A1A"/>
    <w:rsid w:val="002A4692"/>
    <w:rsid w:val="002A51BA"/>
    <w:rsid w:val="002B0C36"/>
    <w:rsid w:val="002B2E26"/>
    <w:rsid w:val="002B3FE6"/>
    <w:rsid w:val="002B62BE"/>
    <w:rsid w:val="002C2D81"/>
    <w:rsid w:val="002C461E"/>
    <w:rsid w:val="002C6CEC"/>
    <w:rsid w:val="002E09CE"/>
    <w:rsid w:val="002E69D1"/>
    <w:rsid w:val="002F1645"/>
    <w:rsid w:val="002F3BA6"/>
    <w:rsid w:val="00306C98"/>
    <w:rsid w:val="00315320"/>
    <w:rsid w:val="00325776"/>
    <w:rsid w:val="00325E27"/>
    <w:rsid w:val="00330395"/>
    <w:rsid w:val="00333704"/>
    <w:rsid w:val="00336624"/>
    <w:rsid w:val="0034025F"/>
    <w:rsid w:val="00340458"/>
    <w:rsid w:val="0034200F"/>
    <w:rsid w:val="003446A0"/>
    <w:rsid w:val="0034481B"/>
    <w:rsid w:val="00346724"/>
    <w:rsid w:val="00346915"/>
    <w:rsid w:val="00350130"/>
    <w:rsid w:val="00354334"/>
    <w:rsid w:val="0036180C"/>
    <w:rsid w:val="00363CF5"/>
    <w:rsid w:val="00364344"/>
    <w:rsid w:val="003702CA"/>
    <w:rsid w:val="00370617"/>
    <w:rsid w:val="00382F1F"/>
    <w:rsid w:val="003840E5"/>
    <w:rsid w:val="00391DA4"/>
    <w:rsid w:val="00395D85"/>
    <w:rsid w:val="003A3C64"/>
    <w:rsid w:val="003A3F83"/>
    <w:rsid w:val="003C1837"/>
    <w:rsid w:val="003C43EF"/>
    <w:rsid w:val="003C5A6B"/>
    <w:rsid w:val="003C7FB2"/>
    <w:rsid w:val="003D24DE"/>
    <w:rsid w:val="003E26D4"/>
    <w:rsid w:val="003E47BA"/>
    <w:rsid w:val="003F3B37"/>
    <w:rsid w:val="0040195A"/>
    <w:rsid w:val="00402DC0"/>
    <w:rsid w:val="00416C4B"/>
    <w:rsid w:val="0041751E"/>
    <w:rsid w:val="004211E5"/>
    <w:rsid w:val="00422091"/>
    <w:rsid w:val="004301E3"/>
    <w:rsid w:val="0043386C"/>
    <w:rsid w:val="00436F2D"/>
    <w:rsid w:val="00436F5D"/>
    <w:rsid w:val="00441B42"/>
    <w:rsid w:val="0045118A"/>
    <w:rsid w:val="00455D51"/>
    <w:rsid w:val="00456BF9"/>
    <w:rsid w:val="00461057"/>
    <w:rsid w:val="004704A8"/>
    <w:rsid w:val="00470C5C"/>
    <w:rsid w:val="00471102"/>
    <w:rsid w:val="00471F18"/>
    <w:rsid w:val="00473ED9"/>
    <w:rsid w:val="00474484"/>
    <w:rsid w:val="00484144"/>
    <w:rsid w:val="00484C19"/>
    <w:rsid w:val="00485866"/>
    <w:rsid w:val="00492076"/>
    <w:rsid w:val="00493B1D"/>
    <w:rsid w:val="00497037"/>
    <w:rsid w:val="004A3009"/>
    <w:rsid w:val="004A6940"/>
    <w:rsid w:val="004A77A4"/>
    <w:rsid w:val="004C742C"/>
    <w:rsid w:val="004E04E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6E07"/>
    <w:rsid w:val="00577A15"/>
    <w:rsid w:val="00580533"/>
    <w:rsid w:val="0059131D"/>
    <w:rsid w:val="005B3F92"/>
    <w:rsid w:val="005B479C"/>
    <w:rsid w:val="005B561E"/>
    <w:rsid w:val="005C07E4"/>
    <w:rsid w:val="005C2124"/>
    <w:rsid w:val="005C336F"/>
    <w:rsid w:val="005C6760"/>
    <w:rsid w:val="005C7F3C"/>
    <w:rsid w:val="005E017C"/>
    <w:rsid w:val="005E50C6"/>
    <w:rsid w:val="005F2A97"/>
    <w:rsid w:val="005F3120"/>
    <w:rsid w:val="005F399B"/>
    <w:rsid w:val="006019F8"/>
    <w:rsid w:val="00602754"/>
    <w:rsid w:val="00605B20"/>
    <w:rsid w:val="0061156F"/>
    <w:rsid w:val="00613FF5"/>
    <w:rsid w:val="006155A8"/>
    <w:rsid w:val="00621076"/>
    <w:rsid w:val="00621B94"/>
    <w:rsid w:val="00625BAC"/>
    <w:rsid w:val="00626239"/>
    <w:rsid w:val="00635316"/>
    <w:rsid w:val="00635449"/>
    <w:rsid w:val="006378C5"/>
    <w:rsid w:val="006429E2"/>
    <w:rsid w:val="00645E6A"/>
    <w:rsid w:val="00665CBC"/>
    <w:rsid w:val="00667A5C"/>
    <w:rsid w:val="00677316"/>
    <w:rsid w:val="00686AEB"/>
    <w:rsid w:val="006932B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6C4"/>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3336"/>
    <w:rsid w:val="007C38FB"/>
    <w:rsid w:val="007C7DE4"/>
    <w:rsid w:val="007D40CB"/>
    <w:rsid w:val="007D5796"/>
    <w:rsid w:val="007D59C0"/>
    <w:rsid w:val="007D6E93"/>
    <w:rsid w:val="007D7D9C"/>
    <w:rsid w:val="007F485D"/>
    <w:rsid w:val="007F6050"/>
    <w:rsid w:val="00813627"/>
    <w:rsid w:val="008249B3"/>
    <w:rsid w:val="00832816"/>
    <w:rsid w:val="00837109"/>
    <w:rsid w:val="00840365"/>
    <w:rsid w:val="008406A3"/>
    <w:rsid w:val="00841D2C"/>
    <w:rsid w:val="00845F3C"/>
    <w:rsid w:val="008461B8"/>
    <w:rsid w:val="008462F1"/>
    <w:rsid w:val="00847EF1"/>
    <w:rsid w:val="008538FA"/>
    <w:rsid w:val="008573B0"/>
    <w:rsid w:val="008664C9"/>
    <w:rsid w:val="00866563"/>
    <w:rsid w:val="00867AC2"/>
    <w:rsid w:val="0087056E"/>
    <w:rsid w:val="00875402"/>
    <w:rsid w:val="00884D51"/>
    <w:rsid w:val="008916EC"/>
    <w:rsid w:val="00891E4F"/>
    <w:rsid w:val="008A31C5"/>
    <w:rsid w:val="008A4F9A"/>
    <w:rsid w:val="008B2850"/>
    <w:rsid w:val="008C79B3"/>
    <w:rsid w:val="008D77BD"/>
    <w:rsid w:val="008E0B3A"/>
    <w:rsid w:val="008E1C9B"/>
    <w:rsid w:val="008E454C"/>
    <w:rsid w:val="008F1E5A"/>
    <w:rsid w:val="00901BDA"/>
    <w:rsid w:val="009121D8"/>
    <w:rsid w:val="00916F7A"/>
    <w:rsid w:val="00917FE3"/>
    <w:rsid w:val="009318C7"/>
    <w:rsid w:val="00931C09"/>
    <w:rsid w:val="009348C2"/>
    <w:rsid w:val="009440D0"/>
    <w:rsid w:val="009523A3"/>
    <w:rsid w:val="009576E8"/>
    <w:rsid w:val="00960958"/>
    <w:rsid w:val="00963A46"/>
    <w:rsid w:val="00965B1C"/>
    <w:rsid w:val="00966A3E"/>
    <w:rsid w:val="00971493"/>
    <w:rsid w:val="00971AD9"/>
    <w:rsid w:val="00972DF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D5"/>
    <w:rsid w:val="009D0E5D"/>
    <w:rsid w:val="009D0F63"/>
    <w:rsid w:val="009D4F62"/>
    <w:rsid w:val="009D7934"/>
    <w:rsid w:val="009D7CCF"/>
    <w:rsid w:val="009E5961"/>
    <w:rsid w:val="009F4FAC"/>
    <w:rsid w:val="00A017C0"/>
    <w:rsid w:val="00A11228"/>
    <w:rsid w:val="00A136AB"/>
    <w:rsid w:val="00A14CE3"/>
    <w:rsid w:val="00A222C2"/>
    <w:rsid w:val="00A305D6"/>
    <w:rsid w:val="00A342C4"/>
    <w:rsid w:val="00A50F6B"/>
    <w:rsid w:val="00A52237"/>
    <w:rsid w:val="00A551D6"/>
    <w:rsid w:val="00A6251B"/>
    <w:rsid w:val="00A6754E"/>
    <w:rsid w:val="00A70F58"/>
    <w:rsid w:val="00A72987"/>
    <w:rsid w:val="00A7346B"/>
    <w:rsid w:val="00A76228"/>
    <w:rsid w:val="00A84C4F"/>
    <w:rsid w:val="00A932A1"/>
    <w:rsid w:val="00A96E06"/>
    <w:rsid w:val="00AA6197"/>
    <w:rsid w:val="00AA6C70"/>
    <w:rsid w:val="00AA6CD4"/>
    <w:rsid w:val="00AB16FD"/>
    <w:rsid w:val="00AB4813"/>
    <w:rsid w:val="00AC4BBE"/>
    <w:rsid w:val="00AC6466"/>
    <w:rsid w:val="00AC7639"/>
    <w:rsid w:val="00AD06A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9F7"/>
    <w:rsid w:val="00B75FE7"/>
    <w:rsid w:val="00B90E33"/>
    <w:rsid w:val="00B9676B"/>
    <w:rsid w:val="00BA2EA5"/>
    <w:rsid w:val="00BA364B"/>
    <w:rsid w:val="00BA4295"/>
    <w:rsid w:val="00BB1190"/>
    <w:rsid w:val="00BB31D0"/>
    <w:rsid w:val="00BB3A11"/>
    <w:rsid w:val="00BB4DDB"/>
    <w:rsid w:val="00BB5D79"/>
    <w:rsid w:val="00BB5F02"/>
    <w:rsid w:val="00BC7892"/>
    <w:rsid w:val="00BD1969"/>
    <w:rsid w:val="00BE24D6"/>
    <w:rsid w:val="00BE7EFA"/>
    <w:rsid w:val="00BF06AD"/>
    <w:rsid w:val="00BF2C67"/>
    <w:rsid w:val="00C04F4D"/>
    <w:rsid w:val="00C12E48"/>
    <w:rsid w:val="00C13D14"/>
    <w:rsid w:val="00C15F53"/>
    <w:rsid w:val="00C23F09"/>
    <w:rsid w:val="00C25356"/>
    <w:rsid w:val="00C328D0"/>
    <w:rsid w:val="00C46364"/>
    <w:rsid w:val="00C46BC1"/>
    <w:rsid w:val="00C5235F"/>
    <w:rsid w:val="00C54CE2"/>
    <w:rsid w:val="00C63F4C"/>
    <w:rsid w:val="00C66BF3"/>
    <w:rsid w:val="00C70140"/>
    <w:rsid w:val="00C73CA7"/>
    <w:rsid w:val="00C81B53"/>
    <w:rsid w:val="00C822F6"/>
    <w:rsid w:val="00C82AC2"/>
    <w:rsid w:val="00C8456C"/>
    <w:rsid w:val="00C84645"/>
    <w:rsid w:val="00C90AFF"/>
    <w:rsid w:val="00C91E19"/>
    <w:rsid w:val="00C92402"/>
    <w:rsid w:val="00C92867"/>
    <w:rsid w:val="00C93B93"/>
    <w:rsid w:val="00CA037D"/>
    <w:rsid w:val="00CA0837"/>
    <w:rsid w:val="00CA2442"/>
    <w:rsid w:val="00CA4725"/>
    <w:rsid w:val="00CB6246"/>
    <w:rsid w:val="00CC0A17"/>
    <w:rsid w:val="00CD0F93"/>
    <w:rsid w:val="00CD1BD1"/>
    <w:rsid w:val="00CD528D"/>
    <w:rsid w:val="00CD77AC"/>
    <w:rsid w:val="00CE78BF"/>
    <w:rsid w:val="00CF65EB"/>
    <w:rsid w:val="00CF72AD"/>
    <w:rsid w:val="00D02441"/>
    <w:rsid w:val="00D039F4"/>
    <w:rsid w:val="00D04592"/>
    <w:rsid w:val="00D10496"/>
    <w:rsid w:val="00D11173"/>
    <w:rsid w:val="00D11371"/>
    <w:rsid w:val="00D1215F"/>
    <w:rsid w:val="00D14691"/>
    <w:rsid w:val="00D16561"/>
    <w:rsid w:val="00D17FF8"/>
    <w:rsid w:val="00D268AC"/>
    <w:rsid w:val="00D27FF3"/>
    <w:rsid w:val="00D343D0"/>
    <w:rsid w:val="00D3664D"/>
    <w:rsid w:val="00D500E9"/>
    <w:rsid w:val="00D507BC"/>
    <w:rsid w:val="00D52B12"/>
    <w:rsid w:val="00D6090A"/>
    <w:rsid w:val="00D62FA3"/>
    <w:rsid w:val="00D63B6F"/>
    <w:rsid w:val="00D64A90"/>
    <w:rsid w:val="00D92BC5"/>
    <w:rsid w:val="00D9410B"/>
    <w:rsid w:val="00D9695B"/>
    <w:rsid w:val="00DA2417"/>
    <w:rsid w:val="00DA5585"/>
    <w:rsid w:val="00DB02AC"/>
    <w:rsid w:val="00DB3C13"/>
    <w:rsid w:val="00DB6AA2"/>
    <w:rsid w:val="00DE10D1"/>
    <w:rsid w:val="00DE2514"/>
    <w:rsid w:val="00DE6851"/>
    <w:rsid w:val="00DE6F4B"/>
    <w:rsid w:val="00DF03EE"/>
    <w:rsid w:val="00E01B71"/>
    <w:rsid w:val="00E05CC9"/>
    <w:rsid w:val="00E15573"/>
    <w:rsid w:val="00E25A5B"/>
    <w:rsid w:val="00E373C7"/>
    <w:rsid w:val="00E414F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632"/>
    <w:rsid w:val="00EC5281"/>
    <w:rsid w:val="00EC791D"/>
    <w:rsid w:val="00EC7CA6"/>
    <w:rsid w:val="00ED3C5D"/>
    <w:rsid w:val="00ED4553"/>
    <w:rsid w:val="00F00D08"/>
    <w:rsid w:val="00F119D4"/>
    <w:rsid w:val="00F1350D"/>
    <w:rsid w:val="00F15583"/>
    <w:rsid w:val="00F200EE"/>
    <w:rsid w:val="00F22481"/>
    <w:rsid w:val="00F2542E"/>
    <w:rsid w:val="00F27278"/>
    <w:rsid w:val="00F344E3"/>
    <w:rsid w:val="00F34D58"/>
    <w:rsid w:val="00F40FC9"/>
    <w:rsid w:val="00F41A9D"/>
    <w:rsid w:val="00F44314"/>
    <w:rsid w:val="00F47780"/>
    <w:rsid w:val="00F54B9C"/>
    <w:rsid w:val="00F56E96"/>
    <w:rsid w:val="00F573DD"/>
    <w:rsid w:val="00F61E59"/>
    <w:rsid w:val="00F63D99"/>
    <w:rsid w:val="00F6426B"/>
    <w:rsid w:val="00F709B3"/>
    <w:rsid w:val="00F71A5E"/>
    <w:rsid w:val="00F85E23"/>
    <w:rsid w:val="00F96461"/>
    <w:rsid w:val="00FA0AFC"/>
    <w:rsid w:val="00FA1C82"/>
    <w:rsid w:val="00FA2ED1"/>
    <w:rsid w:val="00FA4A52"/>
    <w:rsid w:val="00FB4045"/>
    <w:rsid w:val="00FB4D8E"/>
    <w:rsid w:val="00FC0D0A"/>
    <w:rsid w:val="00FC10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65F811"/>
  <w15:docId w15:val="{C0192930-54E0-47EC-ADB7-A1D99F5A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B0C36"/>
  </w:style>
  <w:style w:type="paragraph" w:styleId="BalloonText">
    <w:name w:val="Balloon Text"/>
    <w:basedOn w:val="Normal"/>
    <w:link w:val="BalloonTextChar"/>
    <w:semiHidden/>
    <w:unhideWhenUsed/>
    <w:rsid w:val="00E414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4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3662</Words>
  <Characters>20415</Characters>
  <Application>Microsoft Office Word</Application>
  <DocSecurity>0</DocSecurity>
  <Lines>420</Lines>
  <Paragraphs>64</Paragraphs>
  <ScaleCrop>false</ScaleCrop>
  <HeadingPairs>
    <vt:vector size="2" baseType="variant">
      <vt:variant>
        <vt:lpstr>Title</vt:lpstr>
      </vt:variant>
      <vt:variant>
        <vt:i4>1</vt:i4>
      </vt:variant>
    </vt:vector>
  </HeadingPairs>
  <TitlesOfParts>
    <vt:vector size="1" baseType="lpstr">
      <vt:lpstr>A4569</vt:lpstr>
    </vt:vector>
  </TitlesOfParts>
  <Manager>R225</Manager>
  <Company>NJ Office of Legislative Services</Company>
  <LinksUpToDate>false</LinksUpToDate>
  <CharactersWithSpaces>24087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A4569 1R</dc:title>
  <dc:subject/>
  <dc:creator>Assemblywoman  REYNOLDS-JACKSON</dc:creator>
  <cp:keywords>A4569|10|AU |147|220|269|!|0|</cp:keywords>
  <dc:description>INTRODUCED AUGUST 24, 2020_x000d_
Amended 2/24/21</dc:description>
  <cp:lastModifiedBy>Todaro, Vivian</cp:lastModifiedBy>
  <cp:revision>2</cp:revision>
  <cp:lastPrinted>2021-06-29T13:03:00Z</cp:lastPrinted>
  <dcterms:created xsi:type="dcterms:W3CDTF">2021-06-29T13:04:00Z</dcterms:created>
  <dcterms:modified xsi:type="dcterms:W3CDTF">2021-06-29T13:04:00Z</dcterms:modified>
  <cp:category>s.4: Eff. date &amp; Note to ss.1-3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