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7AD8" w:rsidRDefault="007A7AD8" w:rsidP="007A7AD8">
      <w:pPr>
        <w:pStyle w:val="bpuReprint"/>
      </w:pPr>
      <w:bookmarkStart w:id="0" w:name="bpuFrontPg"/>
      <w:bookmarkStart w:id="1" w:name="_GoBack"/>
      <w:bookmarkEnd w:id="0"/>
      <w:bookmarkEnd w:id="1"/>
      <w:r>
        <w:t>[First Reprint]</w:t>
      </w:r>
    </w:p>
    <w:p w:rsidR="00326D3A" w:rsidRDefault="00326D3A" w:rsidP="00326D3A">
      <w:pPr>
        <w:pStyle w:val="bpuBill"/>
      </w:pPr>
      <w:r>
        <w:t xml:space="preserve">ASSEMBLY, No. 4903 </w:t>
      </w:r>
    </w:p>
    <w:p w:rsidR="00326D3A" w:rsidRPr="009D38FF" w:rsidRDefault="00326D3A" w:rsidP="00326D3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700310186" r:id="rId7"/>
        </w:object>
      </w:r>
    </w:p>
    <w:p w:rsidR="00326D3A" w:rsidRDefault="00326D3A" w:rsidP="00326D3A">
      <w:pPr>
        <w:pStyle w:val="bpuState"/>
      </w:pPr>
      <w:r>
        <w:t>STATE OF NEW JERSEY</w:t>
      </w:r>
    </w:p>
    <w:p w:rsidR="00326D3A" w:rsidRDefault="00326D3A" w:rsidP="00326D3A">
      <w:pPr>
        <w:pStyle w:val="bpuLegislature"/>
      </w:pPr>
      <w:r>
        <w:t>219th LEGISLATURE</w:t>
      </w:r>
    </w:p>
    <w:p w:rsidR="00326D3A" w:rsidRDefault="00326D3A" w:rsidP="00326D3A">
      <w:pPr>
        <w:pStyle w:val="bpuWpGraphic"/>
      </w:pPr>
      <w:r>
        <w:object w:dxaOrig="8985" w:dyaOrig="255">
          <v:shape id="_x0000_i1026" type="#_x0000_t75" style="width:6in;height:12pt" o:ole="">
            <v:imagedata r:id="rId6" o:title=""/>
          </v:shape>
          <o:OLEObject Type="Embed" ProgID="WPWin6.1" ShapeID="_x0000_i1026" DrawAspect="Content" ObjectID="_1700310187" r:id="rId8"/>
        </w:object>
      </w:r>
      <w:r>
        <w:t xml:space="preserve">  </w:t>
      </w:r>
    </w:p>
    <w:p w:rsidR="00326D3A" w:rsidRDefault="00326D3A" w:rsidP="00326D3A">
      <w:pPr>
        <w:pStyle w:val="bpuIntro"/>
      </w:pPr>
      <w:r>
        <w:t>INTRODUCED OCTOBER 29, 2020</w:t>
      </w:r>
    </w:p>
    <w:p w:rsidR="00326D3A" w:rsidRDefault="00326D3A" w:rsidP="00326D3A">
      <w:pPr>
        <w:pStyle w:val="bpuIntro"/>
      </w:pPr>
    </w:p>
    <w:p w:rsidR="00326D3A" w:rsidRDefault="00326D3A" w:rsidP="00326D3A">
      <w:pPr>
        <w:pStyle w:val="bpuIntro"/>
        <w:sectPr w:rsidR="00326D3A" w:rsidSect="00E56B2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26D3A" w:rsidRDefault="00326D3A" w:rsidP="00326D3A">
      <w:pPr>
        <w:pStyle w:val="bpuIntro"/>
      </w:pPr>
    </w:p>
    <w:p w:rsidR="00326D3A" w:rsidRDefault="00326D3A" w:rsidP="00326D3A">
      <w:pPr>
        <w:pStyle w:val="bpuSponsor"/>
      </w:pPr>
      <w:r>
        <w:t>Sponsored by:</w:t>
      </w:r>
    </w:p>
    <w:p w:rsidR="00326D3A" w:rsidRDefault="00326D3A" w:rsidP="00326D3A">
      <w:pPr>
        <w:pStyle w:val="bpuSponsor"/>
      </w:pPr>
      <w:r>
        <w:t>Assemblyman  GORDON M. JOHNSON</w:t>
      </w:r>
    </w:p>
    <w:p w:rsidR="00326D3A" w:rsidRDefault="00326D3A" w:rsidP="00326D3A">
      <w:pPr>
        <w:pStyle w:val="bpuSponsor"/>
      </w:pPr>
      <w:r>
        <w:t>District 37 (Bergen)</w:t>
      </w:r>
    </w:p>
    <w:p w:rsidR="00326D3A" w:rsidRDefault="00496F7F" w:rsidP="00496F7F">
      <w:pPr>
        <w:pStyle w:val="bpuSponsor"/>
      </w:pPr>
      <w:r>
        <w:t>Assemblyman  RAJ MUKHERJI</w:t>
      </w:r>
    </w:p>
    <w:p w:rsidR="00496F7F" w:rsidRDefault="00496F7F" w:rsidP="00496F7F">
      <w:pPr>
        <w:pStyle w:val="bpuSponsor"/>
      </w:pPr>
      <w:r>
        <w:t>District 33 (Hudson)</w:t>
      </w:r>
    </w:p>
    <w:p w:rsidR="00496F7F" w:rsidRPr="00496F7F" w:rsidRDefault="00496F7F" w:rsidP="00496F7F">
      <w:pPr>
        <w:pStyle w:val="bpuSponsor"/>
      </w:pPr>
    </w:p>
    <w:p w:rsidR="00326D3A" w:rsidRDefault="00E56B26" w:rsidP="00E56B26">
      <w:pPr>
        <w:pStyle w:val="bpuSponsor"/>
      </w:pPr>
      <w:r>
        <w:t>Co-Sponsored by:</w:t>
      </w:r>
    </w:p>
    <w:p w:rsidR="00E56B26" w:rsidRDefault="00E56B26" w:rsidP="00E56B26">
      <w:pPr>
        <w:pStyle w:val="bpuSponsor"/>
      </w:pPr>
      <w:r w:rsidRPr="00E56B26">
        <w:t>Assemblywoman Murphy</w:t>
      </w:r>
    </w:p>
    <w:p w:rsidR="00E56B26" w:rsidRDefault="00E56B26" w:rsidP="00E56B26"/>
    <w:p w:rsidR="00E56B26" w:rsidRPr="00E56B26" w:rsidRDefault="00E56B26" w:rsidP="00E56B26"/>
    <w:p w:rsidR="00326D3A" w:rsidRDefault="00326D3A" w:rsidP="00326D3A">
      <w:pPr>
        <w:pStyle w:val="bpuSponsor"/>
      </w:pPr>
    </w:p>
    <w:p w:rsidR="00326D3A" w:rsidRDefault="00326D3A" w:rsidP="00326D3A">
      <w:pPr>
        <w:pStyle w:val="bpuSponsor"/>
      </w:pPr>
    </w:p>
    <w:p w:rsidR="00326D3A" w:rsidRDefault="00326D3A" w:rsidP="00326D3A">
      <w:pPr>
        <w:pStyle w:val="bpuSponsor"/>
      </w:pPr>
      <w:r>
        <w:t>SYNOPSIS</w:t>
      </w:r>
    </w:p>
    <w:p w:rsidR="00326D3A" w:rsidRDefault="00326D3A" w:rsidP="00326D3A">
      <w:pPr>
        <w:pStyle w:val="bpuNormText"/>
      </w:pPr>
      <w:r>
        <w:tab/>
        <w:t xml:space="preserve">Adjusts statute of limitations on damage claim for construction defect in common interest community. </w:t>
      </w:r>
    </w:p>
    <w:p w:rsidR="00326D3A" w:rsidRDefault="00326D3A" w:rsidP="00326D3A">
      <w:pPr>
        <w:pStyle w:val="bpuNormText"/>
      </w:pPr>
    </w:p>
    <w:p w:rsidR="00326D3A" w:rsidRDefault="00326D3A" w:rsidP="00326D3A">
      <w:pPr>
        <w:pStyle w:val="bpuSponsor"/>
      </w:pPr>
      <w:r>
        <w:t xml:space="preserve">CURRENT VERSION OF TEXT </w:t>
      </w:r>
    </w:p>
    <w:p w:rsidR="00326D3A" w:rsidRDefault="007A7AD8" w:rsidP="00326D3A">
      <w:pPr>
        <w:pStyle w:val="bpuNormText"/>
      </w:pPr>
      <w:r>
        <w:tab/>
        <w:t>As reported by the Assembly Judiciary Committee on May 12, 2021, with amendments.</w:t>
      </w:r>
    </w:p>
    <w:p w:rsidR="00326D3A" w:rsidRDefault="00326D3A" w:rsidP="00326D3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26D3A" w:rsidRDefault="00326D3A" w:rsidP="008916EC">
      <w:pPr>
        <w:pStyle w:val="FronterPage"/>
        <w:tabs>
          <w:tab w:val="clear" w:pos="720"/>
          <w:tab w:val="clear" w:pos="1440"/>
          <w:tab w:val="clear" w:pos="2160"/>
          <w:tab w:val="clear" w:pos="2880"/>
          <w:tab w:val="clear" w:pos="3600"/>
          <w:tab w:val="clear" w:pos="4320"/>
          <w:tab w:val="clear" w:pos="5040"/>
        </w:tabs>
        <w:sectPr w:rsidR="00326D3A" w:rsidSect="00326D3A">
          <w:type w:val="continuous"/>
          <w:pgSz w:w="12240" w:h="20160" w:code="5"/>
          <w:pgMar w:top="1440" w:right="2275" w:bottom="1440" w:left="2275" w:header="72" w:footer="720" w:gutter="0"/>
          <w:pgNumType w:start="1"/>
          <w:cols w:space="720"/>
          <w:docGrid w:linePitch="360"/>
        </w:sectPr>
      </w:pPr>
    </w:p>
    <w:p w:rsidR="00AA62B8" w:rsidRPr="00677316" w:rsidRDefault="00AA62B8" w:rsidP="00AA62B8">
      <w:pPr>
        <w:pStyle w:val="HangingAnAct"/>
        <w:rPr>
          <w:rStyle w:val="HangingAnActChar"/>
        </w:rPr>
      </w:pPr>
      <w:r w:rsidRPr="00AA62B8">
        <w:rPr>
          <w:rStyle w:val="BillHead"/>
        </w:rPr>
        <w:lastRenderedPageBreak/>
        <w:t>An Act</w:t>
      </w:r>
      <w:r w:rsidRPr="006B7FA7">
        <w:rPr>
          <w:rStyle w:val="HangingAnActChar"/>
        </w:rPr>
        <w:t xml:space="preserve"> </w:t>
      </w:r>
      <w:r>
        <w:t>concerning construction defects in common interest communities and amending N.J.S.2A:14-1.</w:t>
      </w:r>
    </w:p>
    <w:p w:rsidR="00AA62B8" w:rsidRPr="00D71D68" w:rsidRDefault="00AA62B8" w:rsidP="00AA62B8"/>
    <w:p w:rsidR="00AA62B8" w:rsidRPr="00AA7880" w:rsidRDefault="00AA62B8" w:rsidP="00AA62B8">
      <w:r>
        <w:tab/>
      </w:r>
      <w:r>
        <w:rPr>
          <w:rStyle w:val="BillHeading2"/>
        </w:rPr>
        <w:t xml:space="preserve">Be It Enacted </w:t>
      </w:r>
      <w:r>
        <w:rPr>
          <w:rStyle w:val="BillLanguage"/>
        </w:rPr>
        <w:t>by the Senate and General Assembly of the State of New Jersey:</w:t>
      </w:r>
    </w:p>
    <w:p w:rsidR="00AA62B8" w:rsidRPr="00D71D68" w:rsidRDefault="00AA62B8" w:rsidP="00AA62B8"/>
    <w:p w:rsidR="007A7AD8" w:rsidRPr="007A7AD8" w:rsidRDefault="007A7AD8" w:rsidP="007A7AD8">
      <w:pPr>
        <w:rPr>
          <w:sz w:val="23"/>
          <w:szCs w:val="23"/>
        </w:rPr>
      </w:pPr>
      <w:r w:rsidRPr="007A7AD8">
        <w:rPr>
          <w:sz w:val="23"/>
          <w:szCs w:val="23"/>
        </w:rPr>
        <w:tab/>
        <w:t>1.</w:t>
      </w:r>
      <w:r w:rsidRPr="007A7AD8">
        <w:rPr>
          <w:sz w:val="23"/>
          <w:szCs w:val="23"/>
        </w:rPr>
        <w:tab/>
        <w:t>N.J.S.2A:14-1 is amended to read as follows:</w:t>
      </w:r>
    </w:p>
    <w:p w:rsidR="007A7AD8" w:rsidRPr="007A7AD8" w:rsidRDefault="007A7AD8" w:rsidP="007A7AD8">
      <w:pPr>
        <w:rPr>
          <w:sz w:val="23"/>
          <w:szCs w:val="23"/>
        </w:rPr>
      </w:pPr>
      <w:r w:rsidRPr="007A7AD8">
        <w:rPr>
          <w:sz w:val="23"/>
          <w:szCs w:val="23"/>
        </w:rPr>
        <w:tab/>
        <w:t xml:space="preserve">2A:14-1.  </w:t>
      </w:r>
      <w:r w:rsidRPr="007A7AD8">
        <w:rPr>
          <w:sz w:val="23"/>
          <w:szCs w:val="23"/>
          <w:u w:val="single"/>
        </w:rPr>
        <w:t>a.</w:t>
      </w:r>
      <w:r w:rsidRPr="007A7AD8">
        <w:rPr>
          <w:sz w:val="23"/>
          <w:szCs w:val="23"/>
        </w:rPr>
        <w:t xml:space="preserve">  Every action at law for trespass to real property, for any tortious injury to real or personal property, for taking, detaining, or converting personal property, for replevin of goods or chattels, for any tortious injury to the rights of another not stated in </w:t>
      </w:r>
      <w:r w:rsidRPr="007A7AD8">
        <w:rPr>
          <w:rFonts w:ascii="Albertus Extra Bold" w:hAnsi="Albertus Extra Bold"/>
          <w:b/>
          <w:sz w:val="23"/>
          <w:szCs w:val="23"/>
        </w:rPr>
        <w:t>[</w:t>
      </w:r>
      <w:r w:rsidRPr="007A7AD8">
        <w:rPr>
          <w:sz w:val="23"/>
          <w:szCs w:val="23"/>
        </w:rPr>
        <w:t>sections 2A:14-2 and 2A:14-3 of this Title</w:t>
      </w:r>
      <w:r w:rsidRPr="007A7AD8">
        <w:rPr>
          <w:rFonts w:ascii="Albertus Extra Bold" w:hAnsi="Albertus Extra Bold"/>
          <w:b/>
          <w:sz w:val="23"/>
          <w:szCs w:val="23"/>
        </w:rPr>
        <w:t>]</w:t>
      </w:r>
      <w:r w:rsidRPr="007A7AD8">
        <w:rPr>
          <w:sz w:val="23"/>
          <w:szCs w:val="23"/>
        </w:rPr>
        <w:t xml:space="preserve"> </w:t>
      </w:r>
      <w:r w:rsidRPr="007A7AD8">
        <w:rPr>
          <w:sz w:val="23"/>
          <w:szCs w:val="23"/>
          <w:u w:val="single"/>
        </w:rPr>
        <w:t>N.J.S.2A:14-2 and N.J.S.2A:14-3</w:t>
      </w:r>
      <w:r w:rsidRPr="007A7AD8">
        <w:rPr>
          <w:sz w:val="23"/>
          <w:szCs w:val="23"/>
        </w:rPr>
        <w:t>, or for recovery upon a contractual claim or liability, express or implied, not under seal, or upon an account other than one which concerns the trade or merchandise between merchant and merchant, their factors, agents and servants, shall be commenced within six years next after the cause of any such action shall have accrued.</w:t>
      </w:r>
    </w:p>
    <w:p w:rsidR="007A7AD8" w:rsidRPr="007A7AD8" w:rsidRDefault="007A7AD8" w:rsidP="007A7AD8">
      <w:pPr>
        <w:rPr>
          <w:sz w:val="23"/>
          <w:szCs w:val="23"/>
        </w:rPr>
      </w:pPr>
      <w:r w:rsidRPr="007A7AD8">
        <w:rPr>
          <w:sz w:val="23"/>
          <w:szCs w:val="23"/>
        </w:rPr>
        <w:tab/>
      </w:r>
      <w:r w:rsidRPr="007A7AD8">
        <w:rPr>
          <w:sz w:val="23"/>
          <w:szCs w:val="23"/>
          <w:u w:val="single"/>
        </w:rPr>
        <w:t>b.</w:t>
      </w:r>
      <w:r w:rsidRPr="007A7AD8">
        <w:rPr>
          <w:sz w:val="23"/>
          <w:szCs w:val="23"/>
        </w:rPr>
        <w:tab/>
        <w:t xml:space="preserve">This section shall not apply to any action for breach of any contract for sale governed by </w:t>
      </w:r>
      <w:r w:rsidRPr="007A7AD8">
        <w:rPr>
          <w:rFonts w:ascii="Albertus Extra Bold" w:hAnsi="Albertus Extra Bold"/>
          <w:b/>
          <w:sz w:val="23"/>
          <w:szCs w:val="23"/>
        </w:rPr>
        <w:t>[</w:t>
      </w:r>
      <w:r w:rsidRPr="007A7AD8">
        <w:rPr>
          <w:sz w:val="23"/>
          <w:szCs w:val="23"/>
        </w:rPr>
        <w:t>section 12A:2-725 of the New Jersey Statutes</w:t>
      </w:r>
      <w:r w:rsidRPr="007A7AD8">
        <w:rPr>
          <w:rFonts w:ascii="Albertus Extra Bold" w:hAnsi="Albertus Extra Bold"/>
          <w:b/>
          <w:sz w:val="23"/>
          <w:szCs w:val="23"/>
        </w:rPr>
        <w:t>]</w:t>
      </w:r>
      <w:r w:rsidRPr="007A7AD8">
        <w:rPr>
          <w:sz w:val="23"/>
          <w:szCs w:val="23"/>
        </w:rPr>
        <w:t xml:space="preserve"> </w:t>
      </w:r>
      <w:r w:rsidRPr="007A7AD8">
        <w:rPr>
          <w:sz w:val="23"/>
          <w:szCs w:val="23"/>
          <w:u w:val="single"/>
        </w:rPr>
        <w:t>N.J.S.12A:2-725</w:t>
      </w:r>
      <w:r w:rsidRPr="007A7AD8">
        <w:rPr>
          <w:sz w:val="23"/>
          <w:szCs w:val="23"/>
        </w:rPr>
        <w:t>.</w:t>
      </w:r>
    </w:p>
    <w:p w:rsidR="007A7AD8" w:rsidRPr="007A7AD8" w:rsidRDefault="007A7AD8" w:rsidP="007A7AD8">
      <w:pPr>
        <w:rPr>
          <w:sz w:val="23"/>
          <w:szCs w:val="23"/>
          <w:u w:val="single"/>
        </w:rPr>
      </w:pPr>
      <w:r w:rsidRPr="007A7AD8">
        <w:rPr>
          <w:sz w:val="23"/>
          <w:szCs w:val="23"/>
        </w:rPr>
        <w:tab/>
      </w:r>
      <w:r w:rsidRPr="007A7AD8">
        <w:rPr>
          <w:sz w:val="23"/>
          <w:szCs w:val="23"/>
          <w:u w:val="single"/>
        </w:rPr>
        <w:t>c.</w:t>
      </w:r>
      <w:r w:rsidRPr="007A7AD8">
        <w:rPr>
          <w:sz w:val="23"/>
          <w:szCs w:val="23"/>
          <w:u w:val="single"/>
        </w:rPr>
        <w:tab/>
        <w:t>The period of time for the filing of a claim by a condominium association, cooperative corporation, or other planned real estate development association against a developer or any person acting through, on behalf of or at the behest of the developer under subsection a. of this section, shall be tolled until</w:t>
      </w:r>
      <w:r w:rsidRPr="007A7AD8">
        <w:rPr>
          <w:sz w:val="23"/>
          <w:szCs w:val="23"/>
        </w:rPr>
        <w:t xml:space="preserve"> </w:t>
      </w:r>
      <w:r w:rsidRPr="007A7AD8">
        <w:rPr>
          <w:rFonts w:ascii="Albertus Extra Bold" w:hAnsi="Albertus Extra Bold"/>
          <w:b/>
          <w:sz w:val="23"/>
          <w:szCs w:val="23"/>
          <w:vertAlign w:val="superscript"/>
        </w:rPr>
        <w:t>1</w:t>
      </w:r>
      <w:r w:rsidRPr="007A7AD8">
        <w:rPr>
          <w:rFonts w:ascii="Albertus Extra Bold" w:hAnsi="Albertus Extra Bold"/>
          <w:b/>
          <w:sz w:val="23"/>
          <w:szCs w:val="23"/>
        </w:rPr>
        <w:t>[</w:t>
      </w:r>
      <w:r w:rsidRPr="007A7AD8">
        <w:rPr>
          <w:sz w:val="23"/>
          <w:szCs w:val="23"/>
          <w:u w:val="single"/>
        </w:rPr>
        <w:t>the date of the transition from developer control, as established</w:t>
      </w:r>
      <w:r w:rsidRPr="007A7AD8">
        <w:rPr>
          <w:rFonts w:ascii="Albertus Extra Bold" w:hAnsi="Albertus Extra Bold"/>
          <w:b/>
          <w:sz w:val="23"/>
          <w:szCs w:val="23"/>
        </w:rPr>
        <w:t>]</w:t>
      </w:r>
      <w:r w:rsidRPr="007A7AD8">
        <w:rPr>
          <w:rFonts w:ascii="Albertus Extra Bold" w:hAnsi="Albertus Extra Bold"/>
          <w:b/>
          <w:sz w:val="23"/>
          <w:szCs w:val="23"/>
          <w:vertAlign w:val="superscript"/>
        </w:rPr>
        <w:t xml:space="preserve"> </w:t>
      </w:r>
      <w:r w:rsidRPr="007A7AD8">
        <w:rPr>
          <w:spacing w:val="0"/>
          <w:sz w:val="23"/>
          <w:szCs w:val="23"/>
        </w:rPr>
        <w:t xml:space="preserve"> </w:t>
      </w:r>
      <w:r w:rsidRPr="007A7AD8">
        <w:rPr>
          <w:spacing w:val="0"/>
          <w:sz w:val="23"/>
          <w:szCs w:val="23"/>
          <w:u w:val="single"/>
        </w:rPr>
        <w:t>an election is held and the owners comprise a majority of the board</w:t>
      </w:r>
      <w:r w:rsidRPr="007A7AD8">
        <w:rPr>
          <w:rFonts w:ascii="Albertus Extra Bold" w:hAnsi="Albertus Extra Bold"/>
          <w:b/>
          <w:sz w:val="23"/>
          <w:szCs w:val="23"/>
          <w:vertAlign w:val="superscript"/>
        </w:rPr>
        <w:t>1</w:t>
      </w:r>
      <w:r w:rsidRPr="007A7AD8">
        <w:rPr>
          <w:spacing w:val="0"/>
          <w:sz w:val="23"/>
          <w:szCs w:val="23"/>
        </w:rPr>
        <w:t xml:space="preserve"> </w:t>
      </w:r>
      <w:r w:rsidRPr="007A7AD8">
        <w:rPr>
          <w:sz w:val="23"/>
          <w:szCs w:val="23"/>
          <w:u w:val="single"/>
        </w:rPr>
        <w:t xml:space="preserve">pursuant to paragraph (3) of subsection a. of section 5 of P.L.1993, c.30 (C.45:22A-47), or subsection d. of section 2 of P.L.1979, c.157 (C.46:8B-12.1).  Any cause of action involving a condominium, cooperative,  or other planned real estate development under the provisions of subsection a. of this section that has not been subject to a final judgment dismissing the claim as of the effective date of P.L.    , c.    (pending before the Legislature as this bill) shall be subject to the terms of this subsection.   </w:t>
      </w:r>
    </w:p>
    <w:p w:rsidR="007A7AD8" w:rsidRPr="007A7AD8" w:rsidRDefault="007A7AD8" w:rsidP="007A7AD8">
      <w:pPr>
        <w:rPr>
          <w:spacing w:val="0"/>
          <w:sz w:val="23"/>
          <w:szCs w:val="23"/>
        </w:rPr>
      </w:pPr>
      <w:r w:rsidRPr="007A7AD8">
        <w:rPr>
          <w:sz w:val="23"/>
          <w:szCs w:val="23"/>
        </w:rPr>
        <w:t>(cf: P.L.1961, c.121, s.1)</w:t>
      </w:r>
    </w:p>
    <w:p w:rsidR="00AA62B8" w:rsidRDefault="00AA62B8" w:rsidP="00AA62B8"/>
    <w:p w:rsidR="00AA62B8" w:rsidRPr="00AA7880" w:rsidRDefault="00AA62B8" w:rsidP="00AA62B8">
      <w:r>
        <w:tab/>
        <w:t>2.</w:t>
      </w:r>
      <w:r>
        <w:tab/>
        <w:t>This act shall take effect immediately.</w:t>
      </w:r>
    </w:p>
    <w:sectPr w:rsidR="00AA62B8" w:rsidRPr="00AA7880" w:rsidSect="00326D3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282F" w:rsidRDefault="0040282F">
      <w:r>
        <w:separator/>
      </w:r>
    </w:p>
  </w:endnote>
  <w:endnote w:type="continuationSeparator" w:id="0">
    <w:p w:rsidR="0040282F" w:rsidRDefault="004028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6F7F" w:rsidRDefault="00E56B26" w:rsidP="00E56B26">
    <w:pPr>
      <w:pStyle w:val="sponUdate"/>
    </w:pPr>
    <w:r>
      <w:t>(Sponsorship Updated As Of: 12/2/2021)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7409" w:rsidRPr="00921C91" w:rsidRDefault="006A740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A7409" w:rsidRPr="00921C91" w:rsidRDefault="006A7409">
    <w:pPr>
      <w:pStyle w:val="Footer"/>
      <w:rPr>
        <w:szCs w:val="18"/>
      </w:rPr>
    </w:pPr>
  </w:p>
  <w:p w:rsidR="006A7409" w:rsidRPr="00921C91" w:rsidRDefault="006A740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A7AD8" w:rsidRDefault="007A7AD8" w:rsidP="00686AEB">
    <w:pPr>
      <w:pStyle w:val="Footer"/>
    </w:pPr>
    <w:r>
      <w:tab/>
      <w:t>Matter enclosed in superscript numerals has been adopted as follows:</w:t>
    </w:r>
  </w:p>
  <w:p w:rsidR="007A7AD8" w:rsidRDefault="007A7AD8"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AJU committee amendments adopted May 12, 2021.</w:t>
    </w:r>
  </w:p>
  <w:p w:rsidR="007A7AD8" w:rsidRPr="007A7AD8" w:rsidRDefault="007A7AD8"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282F" w:rsidRDefault="0040282F">
      <w:r>
        <w:separator/>
      </w:r>
    </w:p>
  </w:footnote>
  <w:footnote w:type="continuationSeparator" w:id="0">
    <w:p w:rsidR="0040282F" w:rsidRDefault="004028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03D9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26D3A" w:rsidRDefault="00326D3A" w:rsidP="00326D3A">
    <w:pPr>
      <w:pStyle w:val="bpuHeadSpon"/>
    </w:pPr>
    <w:r w:rsidRPr="00326D3A">
      <w:rPr>
        <w:rStyle w:val="bpuHeadSponChar"/>
      </w:rPr>
      <w:t>A4903</w:t>
    </w:r>
    <w:r>
      <w:t xml:space="preserve"> </w:t>
    </w:r>
    <w:r w:rsidR="007A7AD8">
      <w:t xml:space="preserve">[1R] </w:t>
    </w:r>
    <w:r>
      <w:t>JOHNSON</w:t>
    </w:r>
    <w:r w:rsidR="00496F7F">
      <w:t>, MUKHERJI</w:t>
    </w:r>
  </w:p>
  <w:p w:rsidR="00326D3A" w:rsidRDefault="00326D3A" w:rsidP="00326D3A">
    <w:pPr>
      <w:pStyle w:val="bpuHeadSpon"/>
    </w:pPr>
    <w:r>
      <w:fldChar w:fldCharType="begin"/>
    </w:r>
    <w:r>
      <w:instrText xml:space="preserve"> PAGE  \* MERGEFORMAT </w:instrText>
    </w:r>
    <w:r>
      <w:fldChar w:fldCharType="separate"/>
    </w:r>
    <w:r w:rsidR="007A7AD8">
      <w:rPr>
        <w:noProof/>
      </w:rPr>
      <w:t>3</w:t>
    </w:r>
    <w:r>
      <w:fldChar w:fldCharType="end"/>
    </w:r>
  </w:p>
  <w:p w:rsidR="00326D3A" w:rsidRDefault="00326D3A" w:rsidP="00326D3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26D3A" w:rsidRDefault="00326D3A" w:rsidP="00326D3A">
    <w:pPr>
      <w:pStyle w:val="bpuHeadSpon"/>
    </w:pPr>
    <w:r w:rsidRPr="00326D3A">
      <w:rPr>
        <w:rStyle w:val="bpuHeadSponChar"/>
      </w:rPr>
      <w:t>A4903</w:t>
    </w:r>
    <w:r>
      <w:t xml:space="preserve"> </w:t>
    </w:r>
    <w:r w:rsidR="007A7AD8">
      <w:t xml:space="preserve">[1R] </w:t>
    </w:r>
    <w:r>
      <w:t>JOHNSON</w:t>
    </w:r>
    <w:r w:rsidR="00496F7F">
      <w:t>, MUKHERJI</w:t>
    </w:r>
  </w:p>
  <w:p w:rsidR="00326D3A" w:rsidRDefault="00326D3A" w:rsidP="00326D3A">
    <w:pPr>
      <w:pStyle w:val="bpuHeadSpon"/>
    </w:pPr>
    <w:r>
      <w:fldChar w:fldCharType="begin"/>
    </w:r>
    <w:r>
      <w:instrText xml:space="preserve"> PAGE  \* MERGEFORMAT </w:instrText>
    </w:r>
    <w:r>
      <w:fldChar w:fldCharType="separate"/>
    </w:r>
    <w:r w:rsidR="00F03D92">
      <w:rPr>
        <w:noProof/>
      </w:rPr>
      <w:t>2</w:t>
    </w:r>
    <w:r>
      <w:fldChar w:fldCharType="end"/>
    </w:r>
  </w:p>
  <w:p w:rsidR="00326D3A" w:rsidRDefault="00326D3A" w:rsidP="00326D3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282F"/>
    <w:rsid w:val="000051BD"/>
    <w:rsid w:val="000160A5"/>
    <w:rsid w:val="0002335B"/>
    <w:rsid w:val="0003549A"/>
    <w:rsid w:val="000367AE"/>
    <w:rsid w:val="00043B22"/>
    <w:rsid w:val="00054975"/>
    <w:rsid w:val="00057D20"/>
    <w:rsid w:val="0006197C"/>
    <w:rsid w:val="0006281F"/>
    <w:rsid w:val="00067ABE"/>
    <w:rsid w:val="0008141C"/>
    <w:rsid w:val="00094A55"/>
    <w:rsid w:val="000A44A7"/>
    <w:rsid w:val="000B1054"/>
    <w:rsid w:val="000B28B0"/>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75A77"/>
    <w:rsid w:val="00181676"/>
    <w:rsid w:val="00183603"/>
    <w:rsid w:val="0018410E"/>
    <w:rsid w:val="00194E78"/>
    <w:rsid w:val="0019707B"/>
    <w:rsid w:val="00197431"/>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26D3A"/>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37B5"/>
    <w:rsid w:val="003840E5"/>
    <w:rsid w:val="00391DA4"/>
    <w:rsid w:val="003A3C64"/>
    <w:rsid w:val="003A3F83"/>
    <w:rsid w:val="003C43EF"/>
    <w:rsid w:val="003C5A6B"/>
    <w:rsid w:val="003C7FB2"/>
    <w:rsid w:val="003D24DE"/>
    <w:rsid w:val="003E26D4"/>
    <w:rsid w:val="003E47BA"/>
    <w:rsid w:val="003F3B37"/>
    <w:rsid w:val="0040195A"/>
    <w:rsid w:val="0040282F"/>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6F7F"/>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25B1"/>
    <w:rsid w:val="00665CBC"/>
    <w:rsid w:val="00667A5C"/>
    <w:rsid w:val="00677316"/>
    <w:rsid w:val="00686AEB"/>
    <w:rsid w:val="006A7409"/>
    <w:rsid w:val="006B7897"/>
    <w:rsid w:val="006B7FA7"/>
    <w:rsid w:val="006C086A"/>
    <w:rsid w:val="006C21C1"/>
    <w:rsid w:val="006C5E0F"/>
    <w:rsid w:val="006C7327"/>
    <w:rsid w:val="006D00E5"/>
    <w:rsid w:val="006D791B"/>
    <w:rsid w:val="006E2895"/>
    <w:rsid w:val="006E3DAE"/>
    <w:rsid w:val="006F180D"/>
    <w:rsid w:val="006F4334"/>
    <w:rsid w:val="006F47AF"/>
    <w:rsid w:val="006F6B8A"/>
    <w:rsid w:val="00707CD3"/>
    <w:rsid w:val="00716BB9"/>
    <w:rsid w:val="007256D1"/>
    <w:rsid w:val="007279FD"/>
    <w:rsid w:val="007502CB"/>
    <w:rsid w:val="00750FA3"/>
    <w:rsid w:val="00752D79"/>
    <w:rsid w:val="00752E20"/>
    <w:rsid w:val="00756EDE"/>
    <w:rsid w:val="00764456"/>
    <w:rsid w:val="00781B4D"/>
    <w:rsid w:val="007824BF"/>
    <w:rsid w:val="00783B8D"/>
    <w:rsid w:val="00794B94"/>
    <w:rsid w:val="00794BD4"/>
    <w:rsid w:val="007A2F73"/>
    <w:rsid w:val="007A3061"/>
    <w:rsid w:val="007A5A0B"/>
    <w:rsid w:val="007A7AD8"/>
    <w:rsid w:val="007C0E14"/>
    <w:rsid w:val="007C7DE4"/>
    <w:rsid w:val="007D40CB"/>
    <w:rsid w:val="007D54DD"/>
    <w:rsid w:val="007D5796"/>
    <w:rsid w:val="007D59C0"/>
    <w:rsid w:val="007D7D9C"/>
    <w:rsid w:val="007F485D"/>
    <w:rsid w:val="007F6050"/>
    <w:rsid w:val="00813627"/>
    <w:rsid w:val="00815D82"/>
    <w:rsid w:val="00817CB0"/>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0E43"/>
    <w:rsid w:val="008A31C5"/>
    <w:rsid w:val="008A4F9A"/>
    <w:rsid w:val="008B2850"/>
    <w:rsid w:val="008C79B3"/>
    <w:rsid w:val="008D77BD"/>
    <w:rsid w:val="008E454C"/>
    <w:rsid w:val="008F1E5A"/>
    <w:rsid w:val="00901BDA"/>
    <w:rsid w:val="009121D8"/>
    <w:rsid w:val="00913F81"/>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0511"/>
    <w:rsid w:val="00A11228"/>
    <w:rsid w:val="00A222C2"/>
    <w:rsid w:val="00A305D6"/>
    <w:rsid w:val="00A342C4"/>
    <w:rsid w:val="00A47426"/>
    <w:rsid w:val="00A50F6B"/>
    <w:rsid w:val="00A52237"/>
    <w:rsid w:val="00A551D6"/>
    <w:rsid w:val="00A6251B"/>
    <w:rsid w:val="00A6754E"/>
    <w:rsid w:val="00A70F58"/>
    <w:rsid w:val="00A72987"/>
    <w:rsid w:val="00A7346B"/>
    <w:rsid w:val="00A833D6"/>
    <w:rsid w:val="00A84C4F"/>
    <w:rsid w:val="00A932A1"/>
    <w:rsid w:val="00A96E06"/>
    <w:rsid w:val="00AA6197"/>
    <w:rsid w:val="00AA62B8"/>
    <w:rsid w:val="00AA6C70"/>
    <w:rsid w:val="00AB16FD"/>
    <w:rsid w:val="00AB4813"/>
    <w:rsid w:val="00AC4BBE"/>
    <w:rsid w:val="00AC6466"/>
    <w:rsid w:val="00AC7639"/>
    <w:rsid w:val="00AD08BB"/>
    <w:rsid w:val="00AD0EC0"/>
    <w:rsid w:val="00AD70D6"/>
    <w:rsid w:val="00AD75BC"/>
    <w:rsid w:val="00AD7BB0"/>
    <w:rsid w:val="00AD7BC9"/>
    <w:rsid w:val="00AE1871"/>
    <w:rsid w:val="00AF061A"/>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B6F2D"/>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6B26"/>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3D92"/>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65F9"/>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14E9174"/>
  <w15:docId w15:val="{508EF685-6F6B-4F3F-828D-4A35AFABA8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326D3A"/>
  </w:style>
  <w:style w:type="paragraph" w:styleId="BalloonText">
    <w:name w:val="Balloon Text"/>
    <w:basedOn w:val="Normal"/>
    <w:link w:val="BalloonTextChar"/>
    <w:semiHidden/>
    <w:unhideWhenUsed/>
    <w:rsid w:val="003837B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837B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406</Words>
  <Characters>2146</Characters>
  <Application>Microsoft Office Word</Application>
  <DocSecurity>0</DocSecurity>
  <Lines>68</Lines>
  <Paragraphs>24</Paragraphs>
  <ScaleCrop>false</ScaleCrop>
  <HeadingPairs>
    <vt:vector size="2" baseType="variant">
      <vt:variant>
        <vt:lpstr>Title</vt:lpstr>
      </vt:variant>
      <vt:variant>
        <vt:i4>1</vt:i4>
      </vt:variant>
    </vt:vector>
  </HeadingPairs>
  <TitlesOfParts>
    <vt:vector size="1" baseType="lpstr">
      <vt:lpstr>A4903 1R</vt:lpstr>
    </vt:vector>
  </TitlesOfParts>
  <Manager>R230</Manager>
  <Company>NJ Office of Legislative Services</Company>
  <LinksUpToDate>false</LinksUpToDate>
  <CharactersWithSpaces>2558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A4903 1R</dc:title>
  <dc:subject/>
  <dc:creator>Assemblyman  JOHNSON</dc:creator>
  <cp:keywords>A4903|2|JU |284|264|103|!|0|</cp:keywords>
  <dc:description>INTRODUCED OCTOBER 29, 2020_x000d_
AMENDED MAY 12, 2021</dc:description>
  <cp:lastModifiedBy>Siracusa, Nicole</cp:lastModifiedBy>
  <cp:revision>2</cp:revision>
  <cp:lastPrinted>2021-12-06T20:36:00Z</cp:lastPrinted>
  <dcterms:created xsi:type="dcterms:W3CDTF">2021-12-06T20:36:00Z</dcterms:created>
  <dcterms:modified xsi:type="dcterms:W3CDTF">2021-12-06T20:36:00Z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