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03FE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03FE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4910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03FE6">
        <w:rPr>
          <w:caps/>
          <w:szCs w:val="24"/>
        </w:rPr>
        <w:t>NOVEMBER 12, 2020</w:t>
      </w:r>
    </w:p>
    <w:p w:rsidR="004144CF" w:rsidRDefault="004144CF" w:rsidP="0083060A"/>
    <w:p w:rsidR="00655CA3" w:rsidRDefault="00B23DB9" w:rsidP="0083060A">
      <w:r>
        <w:tab/>
        <w:t>The Assembly Appropriations Committee reports favorably Assembly Bill No. 4910.</w:t>
      </w:r>
    </w:p>
    <w:p w:rsidR="00342B45" w:rsidRDefault="00342B45" w:rsidP="00342B45">
      <w:r>
        <w:tab/>
        <w:t xml:space="preserve">This bill directs the </w:t>
      </w:r>
      <w:r w:rsidRPr="004B073F">
        <w:t xml:space="preserve">Governor to develop and implement </w:t>
      </w:r>
      <w:r>
        <w:t xml:space="preserve">a </w:t>
      </w:r>
      <w:r w:rsidRPr="004B073F">
        <w:t>county-based mitigation plan to allow businesses to operate during a pandemic.</w:t>
      </w:r>
    </w:p>
    <w:p w:rsidR="00342B45" w:rsidRDefault="00342B45" w:rsidP="00342B45">
      <w:r>
        <w:tab/>
        <w:t xml:space="preserve">Under this bill, the Governor, in consultation with the Commissioner of the Department of Health, is directed to develop and implement a </w:t>
      </w:r>
      <w:r w:rsidRPr="00C17EFA">
        <w:t>mitigat</w:t>
      </w:r>
      <w:r>
        <w:t>ion plan</w:t>
      </w:r>
      <w:r w:rsidRPr="00C17EFA">
        <w:t xml:space="preserve"> </w:t>
      </w:r>
      <w:r>
        <w:t>to allow business to operate during a pandemic.  This plan will be developed by using empirical data, over a seven day rolling average, to establish three categories of risk that will be organized by the following colors:</w:t>
      </w:r>
    </w:p>
    <w:p w:rsidR="00342B45" w:rsidRDefault="00342B45" w:rsidP="00342B45">
      <w:pPr>
        <w:pStyle w:val="ListParagraph"/>
        <w:numPr>
          <w:ilvl w:val="0"/>
          <w:numId w:val="4"/>
        </w:numPr>
      </w:pPr>
      <w:r>
        <w:t>Red, which shall indicate</w:t>
      </w:r>
      <w:r w:rsidRPr="00BF4BB4">
        <w:t xml:space="preserve"> </w:t>
      </w:r>
      <w:r>
        <w:t>that there is an active outbreak and is the highest level of risk;</w:t>
      </w:r>
    </w:p>
    <w:p w:rsidR="00342B45" w:rsidRDefault="00342B45" w:rsidP="00342B45">
      <w:pPr>
        <w:pStyle w:val="ListParagraph"/>
        <w:numPr>
          <w:ilvl w:val="0"/>
          <w:numId w:val="4"/>
        </w:numPr>
      </w:pPr>
      <w:r>
        <w:t>Yellow, which shall indicate that the risk of an outbreak is moderate; and</w:t>
      </w:r>
    </w:p>
    <w:p w:rsidR="00342B45" w:rsidRDefault="00342B45" w:rsidP="00342B45">
      <w:pPr>
        <w:pStyle w:val="ListParagraph"/>
        <w:numPr>
          <w:ilvl w:val="0"/>
          <w:numId w:val="4"/>
        </w:numPr>
      </w:pPr>
      <w:r>
        <w:t>Green, which shall indicate that the risk of an outbreak is low.</w:t>
      </w:r>
    </w:p>
    <w:p w:rsidR="00342B45" w:rsidRPr="00B37662" w:rsidRDefault="00342B45" w:rsidP="00342B45">
      <w:r>
        <w:tab/>
        <w:t>Once these categories, and the thresholds for reaching them, are established, the Governor will assign one of the categories to each of the State’s 21 counties and 565 municipalities,</w:t>
      </w:r>
      <w:r w:rsidRPr="00F66D9E">
        <w:t xml:space="preserve"> with additional consideration given to a county containing a jail, university, or other large congregate facility</w:t>
      </w:r>
      <w:r>
        <w:t xml:space="preserve">. The Governor will then restrict business activity within a county based on the category that the county was assigned to.  </w:t>
      </w:r>
      <w:r w:rsidRPr="00923C92">
        <w:t xml:space="preserve">For an affected county with a population density greater than 1,500 persons per square mile, the Governor may restrict business activity countywide or by municipality.  If an affected county has a population density beneath 1,500 persons per square mile, the Governor </w:t>
      </w:r>
      <w:r>
        <w:t xml:space="preserve">will </w:t>
      </w:r>
      <w:r w:rsidRPr="00923C92">
        <w:t>restrict business activity by municipality.</w:t>
      </w:r>
      <w:r>
        <w:t xml:space="preserve">  M</w:t>
      </w:r>
      <w:r w:rsidRPr="00B37662">
        <w:t>unicipalit</w:t>
      </w:r>
      <w:r>
        <w:t>ies</w:t>
      </w:r>
      <w:r w:rsidRPr="00B37662">
        <w:t xml:space="preserve"> within an affected county may further restrict business activity if the municipality has reason to believe that, based on empirical data, they should be subject to restrictions beyond those </w:t>
      </w:r>
      <w:r>
        <w:t>mandated upon them</w:t>
      </w:r>
      <w:r w:rsidRPr="00B37662">
        <w:t>.</w:t>
      </w:r>
    </w:p>
    <w:p w:rsidR="00756B4E" w:rsidRDefault="00342B45" w:rsidP="00756B4E">
      <w:r>
        <w:tab/>
        <w:t xml:space="preserve">A county assigned to a category higher than green will not be reassigned to a lesser category without a three-week evaluation of the area’s empirical data to determine its progress.  </w:t>
      </w:r>
      <w:r w:rsidRPr="00923C92">
        <w:t xml:space="preserve">Restrictions pertaining </w:t>
      </w:r>
      <w:r w:rsidR="00756B4E">
        <w:br w:type="page"/>
      </w:r>
    </w:p>
    <w:p w:rsidR="00342B45" w:rsidRDefault="00342B45" w:rsidP="00342B45">
      <w:r w:rsidRPr="00923C92">
        <w:lastRenderedPageBreak/>
        <w:t xml:space="preserve">to each category of risk and the data trends of each county </w:t>
      </w:r>
      <w:r>
        <w:t>will</w:t>
      </w:r>
      <w:r w:rsidRPr="00923C92">
        <w:t xml:space="preserve"> be published on the Department of Health website to provide transparency for affected business owners and the public.</w:t>
      </w:r>
    </w:p>
    <w:p w:rsidR="00B23DB9" w:rsidRDefault="00B23DB9" w:rsidP="0083060A"/>
    <w:p w:rsidR="00B23DB9" w:rsidRPr="00B23DB9" w:rsidRDefault="00B23DB9" w:rsidP="0083060A">
      <w:r>
        <w:rPr>
          <w:u w:val="double"/>
        </w:rPr>
        <w:t>FISCAL IMPACT</w:t>
      </w:r>
      <w:r>
        <w:t>:</w:t>
      </w:r>
    </w:p>
    <w:p w:rsidR="004B2ABF" w:rsidRDefault="00342B45" w:rsidP="0083060A">
      <w:r>
        <w:tab/>
        <w:t xml:space="preserve">This bill is not certified as requiring a fiscal note.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FE6" w:rsidRDefault="00803FE6">
      <w:r>
        <w:separator/>
      </w:r>
    </w:p>
  </w:endnote>
  <w:endnote w:type="continuationSeparator" w:id="0">
    <w:p w:rsidR="00803FE6" w:rsidRDefault="00803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FE6" w:rsidRDefault="00803FE6">
      <w:r>
        <w:separator/>
      </w:r>
    </w:p>
  </w:footnote>
  <w:footnote w:type="continuationSeparator" w:id="0">
    <w:p w:rsidR="00803FE6" w:rsidRDefault="00803F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56B4E" w:rsidP="00756B4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206574">
      <w:rPr>
        <w:noProof/>
      </w:rPr>
      <w:t>2</w:t>
    </w:r>
    <w:r>
      <w:fldChar w:fldCharType="end"/>
    </w:r>
  </w:p>
  <w:p w:rsidR="00756B4E" w:rsidRDefault="00756B4E" w:rsidP="00756B4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E415F"/>
    <w:multiLevelType w:val="hybridMultilevel"/>
    <w:tmpl w:val="A7585674"/>
    <w:lvl w:ilvl="0" w:tplc="DE9A45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FE6"/>
    <w:rsid w:val="00010CB9"/>
    <w:rsid w:val="000123C0"/>
    <w:rsid w:val="00015342"/>
    <w:rsid w:val="000213D6"/>
    <w:rsid w:val="00025E25"/>
    <w:rsid w:val="00027199"/>
    <w:rsid w:val="00032833"/>
    <w:rsid w:val="000348FF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6574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2B45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7725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A6E67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6B4E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3FE6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3DB9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1BC5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0612D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0C2C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ABAB81DA-4828-4986-941E-7626CA78E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342B45"/>
    <w:pPr>
      <w:tabs>
        <w:tab w:val="clear" w:pos="360"/>
        <w:tab w:val="clear" w:pos="1080"/>
        <w:tab w:val="left" w:pos="2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ind w:left="720"/>
      <w:contextualSpacing/>
    </w:pPr>
    <w:rPr>
      <w:spacing w:val="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2</Pages>
  <Words>373</Words>
  <Characters>1994</Characters>
  <Application>Microsoft Office Word</Application>
  <DocSecurity>0</DocSecurity>
  <Lines>51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A4910 AAP Statement NOVEMBER 12, 2020</vt:lpstr>
    </vt:vector>
  </TitlesOfParts>
  <Manager>R230</Manager>
  <Company>NJ OLS DMU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A4910 AAP Statement 11/12/20</dc:title>
  <dc:subject/>
  <dc:creator>Assembly AAP</dc:creator>
  <cp:keywords>A4910|2|RF |298|0|0|!||</cp:keywords>
  <dc:description/>
  <cp:lastModifiedBy>Bektas, Brenda</cp:lastModifiedBy>
  <cp:revision>2</cp:revision>
  <cp:lastPrinted>1999-09-30T17:29:00Z</cp:lastPrinted>
  <dcterms:created xsi:type="dcterms:W3CDTF">2020-11-13T17:04:00Z</dcterms:created>
  <dcterms:modified xsi:type="dcterms:W3CDTF">2020-11-13T17:04:00Z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