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D51BF" w:rsidP="00407C9E">
      <w:pPr>
        <w:pStyle w:val="NoteOrEstimate"/>
      </w:pPr>
      <w:r>
        <w:t>LEGISLATIVE FISCAL ESTIMATE</w:t>
      </w:r>
    </w:p>
    <w:p w:rsidR="003D51BF" w:rsidRPr="003D51BF" w:rsidRDefault="003D51BF" w:rsidP="003D51BF">
      <w:pPr>
        <w:pStyle w:val="Reprint"/>
      </w:pPr>
      <w:r>
        <w:t>[First Reprint]</w:t>
      </w:r>
    </w:p>
    <w:p w:rsidR="003C5892" w:rsidRDefault="003D51B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C7F0A" w:rsidP="00BC7F0A">
      <w:pPr>
        <w:pStyle w:val="BillNo"/>
      </w:pPr>
      <w:r>
        <w:t>219th LEGISLATURE</w:t>
      </w:r>
    </w:p>
    <w:p w:rsidR="00353325" w:rsidRDefault="00353325" w:rsidP="00353325"/>
    <w:p w:rsidR="00BC7F0A" w:rsidRDefault="00BC7F0A" w:rsidP="00BC7F0A">
      <w:pPr>
        <w:jc w:val="center"/>
      </w:pPr>
      <w:r>
        <w:t>DATED: DECEMBER 23, 2020</w:t>
      </w:r>
    </w:p>
    <w:p w:rsidR="00BC7F0A" w:rsidRDefault="00BC7F0A" w:rsidP="00353325"/>
    <w:p w:rsidR="00BC7F0A" w:rsidRDefault="00BC7F0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30FE0" w:rsidTr="000E538C">
        <w:trPr>
          <w:trHeight w:val="576"/>
        </w:trPr>
        <w:tc>
          <w:tcPr>
            <w:tcW w:w="2333" w:type="dxa"/>
          </w:tcPr>
          <w:p w:rsidR="00B30FE0" w:rsidRPr="003C5892" w:rsidRDefault="00B30FE0" w:rsidP="000E538C">
            <w:pPr>
              <w:tabs>
                <w:tab w:val="left" w:pos="360"/>
                <w:tab w:val="left" w:pos="720"/>
                <w:tab w:val="left" w:pos="1440"/>
                <w:tab w:val="left" w:pos="2160"/>
                <w:tab w:val="left" w:pos="2880"/>
                <w:tab w:val="left" w:pos="3600"/>
                <w:tab w:val="left" w:pos="4320"/>
                <w:tab w:val="left" w:pos="5040"/>
              </w:tabs>
              <w:rPr>
                <w:b/>
              </w:rPr>
            </w:pPr>
            <w:bookmarkStart w:id="1" w:name="DelTable"/>
            <w:bookmarkEnd w:id="1"/>
            <w:r w:rsidRPr="003C5892">
              <w:rPr>
                <w:b/>
              </w:rPr>
              <w:t>Synopsis</w:t>
            </w:r>
            <w:r>
              <w:rPr>
                <w:b/>
              </w:rPr>
              <w:t>:</w:t>
            </w:r>
          </w:p>
        </w:tc>
        <w:tc>
          <w:tcPr>
            <w:tcW w:w="7013" w:type="dxa"/>
          </w:tcPr>
          <w:p w:rsidR="00B30FE0" w:rsidRDefault="00B30FE0" w:rsidP="000E538C">
            <w:r>
              <w:t>Provides for reorganization of health service corporation.</w:t>
            </w:r>
          </w:p>
        </w:tc>
      </w:tr>
      <w:tr w:rsidR="00B30FE0" w:rsidTr="000E538C">
        <w:trPr>
          <w:trHeight w:val="576"/>
        </w:trPr>
        <w:tc>
          <w:tcPr>
            <w:tcW w:w="2333" w:type="dxa"/>
          </w:tcPr>
          <w:p w:rsidR="00B30FE0" w:rsidRPr="003C5892" w:rsidRDefault="00B30FE0" w:rsidP="000E538C">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23102E">
              <w:rPr>
                <w:b/>
                <w:bCs/>
              </w:rPr>
              <w:t>s</w:t>
            </w:r>
            <w:r w:rsidRPr="003C5892">
              <w:rPr>
                <w:b/>
                <w:bCs/>
              </w:rPr>
              <w:t xml:space="preserve"> of Impact:</w:t>
            </w:r>
          </w:p>
        </w:tc>
        <w:tc>
          <w:tcPr>
            <w:tcW w:w="7013" w:type="dxa"/>
          </w:tcPr>
          <w:p w:rsidR="0023102E" w:rsidRDefault="00B30FE0" w:rsidP="000E538C">
            <w:r>
              <w:t xml:space="preserve">Recurring State revenue decrease.  </w:t>
            </w:r>
          </w:p>
          <w:p w:rsidR="00B30FE0" w:rsidRDefault="00B30FE0" w:rsidP="000E538C">
            <w:r>
              <w:t>One-time State expenditure increase.</w:t>
            </w:r>
          </w:p>
        </w:tc>
      </w:tr>
      <w:tr w:rsidR="00B30FE0" w:rsidTr="000E538C">
        <w:trPr>
          <w:trHeight w:val="576"/>
        </w:trPr>
        <w:tc>
          <w:tcPr>
            <w:tcW w:w="2333" w:type="dxa"/>
          </w:tcPr>
          <w:p w:rsidR="00B30FE0" w:rsidRPr="003C5892" w:rsidRDefault="00B30FE0" w:rsidP="000E538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3102E" w:rsidRDefault="00B30FE0" w:rsidP="000E538C">
            <w:r>
              <w:t xml:space="preserve">Department of the Treasury.  </w:t>
            </w:r>
          </w:p>
          <w:p w:rsidR="00B30FE0" w:rsidRDefault="00B30FE0" w:rsidP="000E538C">
            <w:r>
              <w:t>Department of Banking and Insurance.</w:t>
            </w:r>
          </w:p>
        </w:tc>
      </w:tr>
    </w:tbl>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070"/>
        <w:gridCol w:w="1980"/>
        <w:gridCol w:w="2260"/>
        <w:gridCol w:w="15"/>
      </w:tblGrid>
      <w:tr w:rsidR="00B30FE0" w:rsidTr="000E538C">
        <w:trPr>
          <w:trHeight w:val="410"/>
        </w:trPr>
        <w:tc>
          <w:tcPr>
            <w:tcW w:w="9375" w:type="dxa"/>
            <w:gridSpan w:val="5"/>
            <w:tcBorders>
              <w:top w:val="nil"/>
              <w:left w:val="nil"/>
              <w:bottom w:val="nil"/>
              <w:right w:val="nil"/>
            </w:tcBorders>
            <w:vAlign w:val="bottom"/>
          </w:tcPr>
          <w:p w:rsidR="00B30FE0" w:rsidRPr="00F11982" w:rsidRDefault="00B30FE0" w:rsidP="000E538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30FE0" w:rsidTr="000E538C">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rPr>
                <w:b/>
              </w:rPr>
            </w:pPr>
            <w:r w:rsidRPr="007618F1">
              <w:rPr>
                <w:b/>
              </w:rPr>
              <w:t>Fiscal Impact</w:t>
            </w:r>
          </w:p>
        </w:tc>
        <w:tc>
          <w:tcPr>
            <w:tcW w:w="2070" w:type="dxa"/>
            <w:tcBorders>
              <w:top w:val="single" w:sz="6" w:space="0" w:color="auto"/>
              <w:left w:val="nil"/>
              <w:bottom w:val="single" w:sz="12" w:space="0" w:color="auto"/>
            </w:tcBorders>
            <w:shd w:val="pct20" w:color="auto" w:fill="auto"/>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rPr>
                <w:b/>
              </w:rPr>
            </w:pPr>
            <w:r w:rsidRPr="007618F1">
              <w:rPr>
                <w:b/>
                <w:bCs/>
                <w:u w:val="single"/>
              </w:rPr>
              <w:t>FY 2021</w:t>
            </w:r>
            <w:r w:rsidRPr="007618F1">
              <w:rPr>
                <w:b/>
                <w:bCs/>
              </w:rPr>
              <w:t> </w:t>
            </w:r>
          </w:p>
        </w:tc>
        <w:tc>
          <w:tcPr>
            <w:tcW w:w="1980" w:type="dxa"/>
            <w:tcBorders>
              <w:top w:val="single" w:sz="6" w:space="0" w:color="auto"/>
              <w:left w:val="nil"/>
              <w:bottom w:val="single" w:sz="12" w:space="0" w:color="auto"/>
            </w:tcBorders>
            <w:shd w:val="pct20" w:color="auto" w:fill="auto"/>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rPr>
                <w:b/>
              </w:rPr>
            </w:pPr>
            <w:r w:rsidRPr="007618F1">
              <w:rPr>
                <w:b/>
                <w:bCs/>
                <w:u w:val="single"/>
              </w:rPr>
              <w:t>FY 2022</w:t>
            </w:r>
            <w:r w:rsidRPr="007618F1">
              <w:rPr>
                <w:b/>
                <w:bCs/>
              </w:rPr>
              <w:t> </w:t>
            </w:r>
          </w:p>
        </w:tc>
        <w:tc>
          <w:tcPr>
            <w:tcW w:w="2260" w:type="dxa"/>
            <w:tcBorders>
              <w:top w:val="single" w:sz="6" w:space="0" w:color="auto"/>
              <w:bottom w:val="single" w:sz="12" w:space="0" w:color="auto"/>
              <w:right w:val="single" w:sz="6" w:space="0" w:color="auto"/>
            </w:tcBorders>
            <w:shd w:val="pct20" w:color="auto" w:fill="auto"/>
            <w:vAlign w:val="bottom"/>
          </w:tcPr>
          <w:p w:rsidR="00B30FE0" w:rsidRPr="007C2DB7" w:rsidRDefault="00B30FE0" w:rsidP="000E538C">
            <w:pPr>
              <w:tabs>
                <w:tab w:val="left" w:pos="360"/>
                <w:tab w:val="left" w:pos="720"/>
                <w:tab w:val="left" w:pos="1440"/>
                <w:tab w:val="left" w:pos="2160"/>
                <w:tab w:val="left" w:pos="2880"/>
                <w:tab w:val="left" w:pos="3600"/>
                <w:tab w:val="left" w:pos="4320"/>
                <w:tab w:val="left" w:pos="5040"/>
              </w:tabs>
              <w:jc w:val="center"/>
              <w:rPr>
                <w:b/>
              </w:rPr>
            </w:pPr>
            <w:r w:rsidRPr="007C2DB7">
              <w:rPr>
                <w:b/>
                <w:bCs/>
                <w:u w:val="single"/>
              </w:rPr>
              <w:t>FY 2023 to FY 2039</w:t>
            </w:r>
          </w:p>
        </w:tc>
      </w:tr>
      <w:tr w:rsidR="00B30FE0" w:rsidTr="000E538C">
        <w:trPr>
          <w:gridAfter w:val="1"/>
          <w:wAfter w:w="15" w:type="dxa"/>
          <w:trHeight w:val="410"/>
        </w:trPr>
        <w:tc>
          <w:tcPr>
            <w:tcW w:w="3050" w:type="dxa"/>
            <w:tcBorders>
              <w:top w:val="nil"/>
              <w:left w:val="single" w:sz="6" w:space="0" w:color="auto"/>
              <w:bottom w:val="nil"/>
              <w:right w:val="nil"/>
            </w:tcBorders>
            <w:tcMar>
              <w:bottom w:w="29" w:type="dxa"/>
            </w:tcMar>
            <w:vAlign w:val="center"/>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left"/>
              <w:rPr>
                <w:b/>
              </w:rPr>
            </w:pPr>
            <w:r w:rsidRPr="007618F1">
              <w:rPr>
                <w:b/>
                <w:bCs/>
              </w:rPr>
              <w:t>State Revenue Impact</w:t>
            </w:r>
          </w:p>
        </w:tc>
        <w:tc>
          <w:tcPr>
            <w:tcW w:w="2070" w:type="dxa"/>
            <w:tcBorders>
              <w:top w:val="nil"/>
              <w:left w:val="nil"/>
              <w:bottom w:val="nil"/>
              <w:right w:val="nil"/>
            </w:tcBorders>
            <w:tcMar>
              <w:bottom w:w="29" w:type="dxa"/>
            </w:tcMar>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pPr>
            <w:r>
              <w:t>(</w:t>
            </w:r>
            <w:r w:rsidRPr="007618F1">
              <w:t xml:space="preserve">$54,900,000) </w:t>
            </w:r>
            <w:r>
              <w:t>–</w:t>
            </w:r>
            <w:r w:rsidRPr="007618F1">
              <w:t xml:space="preserve"> </w:t>
            </w:r>
            <w:r>
              <w:t>(</w:t>
            </w:r>
            <w:r w:rsidRPr="007618F1">
              <w:t>$62,</w:t>
            </w:r>
            <w:r>
              <w:t>5</w:t>
            </w:r>
            <w:r w:rsidRPr="007618F1">
              <w:t>00,000)</w:t>
            </w:r>
          </w:p>
        </w:tc>
        <w:tc>
          <w:tcPr>
            <w:tcW w:w="1980" w:type="dxa"/>
            <w:tcBorders>
              <w:top w:val="nil"/>
              <w:left w:val="nil"/>
              <w:bottom w:val="nil"/>
              <w:right w:val="nil"/>
            </w:tcBorders>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pPr>
            <w:r w:rsidRPr="007618F1">
              <w:t>$506,200,000 - $565,600,000</w:t>
            </w:r>
          </w:p>
        </w:tc>
        <w:tc>
          <w:tcPr>
            <w:tcW w:w="2260" w:type="dxa"/>
            <w:tcBorders>
              <w:top w:val="nil"/>
              <w:left w:val="nil"/>
              <w:bottom w:val="nil"/>
              <w:right w:val="single" w:sz="6" w:space="0" w:color="auto"/>
            </w:tcBorders>
            <w:tcMar>
              <w:bottom w:w="29" w:type="dxa"/>
            </w:tcMar>
            <w:vAlign w:val="bottom"/>
          </w:tcPr>
          <w:p w:rsidR="00B30FE0" w:rsidRPr="007C2DB7" w:rsidRDefault="00B30FE0" w:rsidP="000E538C">
            <w:pPr>
              <w:tabs>
                <w:tab w:val="left" w:pos="360"/>
                <w:tab w:val="left" w:pos="720"/>
                <w:tab w:val="left" w:pos="1440"/>
                <w:tab w:val="left" w:pos="2160"/>
                <w:tab w:val="left" w:pos="2880"/>
                <w:tab w:val="left" w:pos="3600"/>
                <w:tab w:val="left" w:pos="4320"/>
                <w:tab w:val="left" w:pos="5040"/>
              </w:tabs>
              <w:jc w:val="center"/>
            </w:pPr>
            <w:r w:rsidRPr="007C2DB7">
              <w:t>($712,700,000) - ($927,900,000)</w:t>
            </w:r>
          </w:p>
        </w:tc>
      </w:tr>
      <w:tr w:rsidR="00B30FE0" w:rsidTr="000E538C">
        <w:trPr>
          <w:gridAfter w:val="1"/>
          <w:wAfter w:w="15" w:type="dxa"/>
          <w:trHeight w:val="410"/>
        </w:trPr>
        <w:tc>
          <w:tcPr>
            <w:tcW w:w="3050" w:type="dxa"/>
            <w:tcBorders>
              <w:top w:val="nil"/>
              <w:left w:val="single" w:sz="6" w:space="0" w:color="auto"/>
              <w:bottom w:val="nil"/>
              <w:right w:val="nil"/>
            </w:tcBorders>
            <w:tcMar>
              <w:bottom w:w="29" w:type="dxa"/>
            </w:tcMar>
            <w:vAlign w:val="center"/>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left"/>
              <w:rPr>
                <w:b/>
                <w:bCs/>
              </w:rPr>
            </w:pPr>
            <w:r w:rsidRPr="007618F1">
              <w:rPr>
                <w:b/>
                <w:bCs/>
              </w:rPr>
              <w:t>State Expenditure Increase</w:t>
            </w:r>
          </w:p>
        </w:tc>
        <w:tc>
          <w:tcPr>
            <w:tcW w:w="2070" w:type="dxa"/>
            <w:tcBorders>
              <w:top w:val="nil"/>
              <w:left w:val="nil"/>
              <w:bottom w:val="nil"/>
              <w:right w:val="nil"/>
            </w:tcBorders>
            <w:tcMar>
              <w:bottom w:w="29" w:type="dxa"/>
            </w:tcMar>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pPr>
            <w:r w:rsidRPr="007618F1">
              <w:t>Indeterminate</w:t>
            </w:r>
          </w:p>
        </w:tc>
        <w:tc>
          <w:tcPr>
            <w:tcW w:w="1980" w:type="dxa"/>
            <w:tcBorders>
              <w:top w:val="nil"/>
              <w:left w:val="nil"/>
              <w:bottom w:val="nil"/>
              <w:right w:val="nil"/>
            </w:tcBorders>
            <w:vAlign w:val="bottom"/>
          </w:tcPr>
          <w:p w:rsidR="00B30FE0" w:rsidRPr="007618F1" w:rsidRDefault="00B30FE0" w:rsidP="000E538C">
            <w:pPr>
              <w:tabs>
                <w:tab w:val="left" w:pos="360"/>
                <w:tab w:val="left" w:pos="720"/>
                <w:tab w:val="left" w:pos="1440"/>
                <w:tab w:val="left" w:pos="2160"/>
                <w:tab w:val="left" w:pos="2880"/>
                <w:tab w:val="left" w:pos="3600"/>
                <w:tab w:val="left" w:pos="4320"/>
                <w:tab w:val="left" w:pos="5040"/>
              </w:tabs>
              <w:jc w:val="center"/>
            </w:pPr>
            <w:r w:rsidRPr="007618F1">
              <w:t>$0</w:t>
            </w:r>
          </w:p>
        </w:tc>
        <w:tc>
          <w:tcPr>
            <w:tcW w:w="2260" w:type="dxa"/>
            <w:tcBorders>
              <w:top w:val="nil"/>
              <w:left w:val="nil"/>
              <w:bottom w:val="nil"/>
              <w:right w:val="single" w:sz="6" w:space="0" w:color="auto"/>
            </w:tcBorders>
            <w:tcMar>
              <w:bottom w:w="29" w:type="dxa"/>
            </w:tcMar>
            <w:vAlign w:val="bottom"/>
          </w:tcPr>
          <w:p w:rsidR="00B30FE0" w:rsidRPr="007C2DB7" w:rsidRDefault="00B30FE0" w:rsidP="000E538C">
            <w:pPr>
              <w:tabs>
                <w:tab w:val="left" w:pos="360"/>
                <w:tab w:val="left" w:pos="720"/>
                <w:tab w:val="left" w:pos="1440"/>
                <w:tab w:val="left" w:pos="2160"/>
                <w:tab w:val="left" w:pos="2880"/>
                <w:tab w:val="left" w:pos="3600"/>
                <w:tab w:val="left" w:pos="4320"/>
                <w:tab w:val="left" w:pos="5040"/>
              </w:tabs>
              <w:jc w:val="center"/>
            </w:pPr>
            <w:r w:rsidRPr="007C2DB7">
              <w:t>$0</w:t>
            </w:r>
          </w:p>
        </w:tc>
      </w:tr>
      <w:tr w:rsidR="00B30FE0" w:rsidTr="000E538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30FE0" w:rsidRDefault="00B30FE0" w:rsidP="000E538C">
            <w:pPr>
              <w:tabs>
                <w:tab w:val="left" w:pos="360"/>
                <w:tab w:val="left" w:pos="720"/>
                <w:tab w:val="left" w:pos="1440"/>
                <w:tab w:val="left" w:pos="2160"/>
                <w:tab w:val="left" w:pos="2880"/>
                <w:tab w:val="left" w:pos="3600"/>
                <w:tab w:val="left" w:pos="4320"/>
                <w:tab w:val="left" w:pos="5040"/>
              </w:tabs>
            </w:pPr>
          </w:p>
        </w:tc>
      </w:tr>
    </w:tbl>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pStyle w:val="ListParagraph"/>
        <w:numPr>
          <w:ilvl w:val="0"/>
          <w:numId w:val="5"/>
        </w:numPr>
        <w:tabs>
          <w:tab w:val="left" w:pos="360"/>
          <w:tab w:val="left" w:pos="720"/>
          <w:tab w:val="left" w:pos="1440"/>
          <w:tab w:val="left" w:pos="2160"/>
          <w:tab w:val="left" w:pos="2880"/>
          <w:tab w:val="left" w:pos="3600"/>
          <w:tab w:val="left" w:pos="4320"/>
          <w:tab w:val="left" w:pos="5040"/>
        </w:tabs>
      </w:pPr>
      <w:r>
        <w:t xml:space="preserve">The Office of Legislative Services (OLS) projects that the bill will lower annual State revenue collections by varying amounts in each fiscal year with the exception of net revenue gains in FY 2022 and FY 2023.  </w:t>
      </w:r>
    </w:p>
    <w:p w:rsidR="00B30FE0" w:rsidRDefault="00B30FE0" w:rsidP="00B30FE0">
      <w:pPr>
        <w:pStyle w:val="ListParagraph"/>
        <w:tabs>
          <w:tab w:val="left" w:pos="720"/>
          <w:tab w:val="left" w:pos="1440"/>
          <w:tab w:val="left" w:pos="2160"/>
          <w:tab w:val="left" w:pos="2880"/>
          <w:tab w:val="left" w:pos="3600"/>
          <w:tab w:val="left" w:pos="4320"/>
          <w:tab w:val="left" w:pos="5040"/>
        </w:tabs>
        <w:ind w:left="360"/>
      </w:pPr>
    </w:p>
    <w:p w:rsidR="00B30FE0" w:rsidRDefault="00B30FE0" w:rsidP="00B30FE0">
      <w:pPr>
        <w:pStyle w:val="ListParagraph"/>
        <w:numPr>
          <w:ilvl w:val="0"/>
          <w:numId w:val="5"/>
        </w:numPr>
        <w:tabs>
          <w:tab w:val="left" w:pos="360"/>
          <w:tab w:val="left" w:pos="720"/>
          <w:tab w:val="left" w:pos="1440"/>
          <w:tab w:val="left" w:pos="2160"/>
          <w:tab w:val="left" w:pos="2880"/>
          <w:tab w:val="left" w:pos="3600"/>
          <w:tab w:val="left" w:pos="4320"/>
          <w:tab w:val="left" w:pos="5040"/>
        </w:tabs>
      </w:pPr>
      <w:r>
        <w:t xml:space="preserve">The OLS estimates that the bill will decrease State insurance premium tax collections by between $54.9 million and $62.5 million in FY 2021, assuming that the reorganization will already affect insurance premium tax payments that are due in March and June of 2021.  </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C7F0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Because of a one-time $600.0 million assessment on the successful conversion applicant, the OLS estimates that the bill will increase State net tax revenues by a range of $506.2 million to $565.6 million in FY 2022.  </w:t>
      </w:r>
    </w:p>
    <w:p w:rsidR="00BC7F0A" w:rsidRDefault="00BC7F0A" w:rsidP="00BC7F0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30FE0" w:rsidRDefault="00B30FE0" w:rsidP="00BC7F0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forecasts that for fiscal years 2023 to 2039, the fiscal years in which the State will </w:t>
      </w:r>
      <w:r w:rsidR="00C9067C">
        <w:t xml:space="preserve">likely </w:t>
      </w:r>
      <w:r>
        <w:t xml:space="preserve">receive additional </w:t>
      </w:r>
      <w:r w:rsidRPr="008A6111">
        <w:t>assessment revenue and incur insurance premium losses attributable to the bill, the potential combined net revenue loss to the State may range between $712.7 million and $927.9 million.  Starting</w:t>
      </w:r>
      <w:r>
        <w:t xml:space="preserve"> in FY 2040, the bill’s sole fiscal impact will be an annual loss in insurance premium tax revenue.</w:t>
      </w:r>
    </w:p>
    <w:p w:rsidR="00B30FE0" w:rsidRDefault="00B30FE0" w:rsidP="00BC7F0A">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Indeterminate one-time State expenditures will accrue as the Department of Banking and Insurance will examine and rule on any reorganization application.  The added responsibility may include the engagement of outside experts and consultants, the cost of whose services would be recouped from the applicant.  </w:t>
      </w:r>
    </w:p>
    <w:p w:rsidR="00BC7F0A" w:rsidRDefault="00BC7F0A" w:rsidP="00BC7F0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30FE0" w:rsidRDefault="00B30FE0" w:rsidP="00B30FE0"/>
    <w:p w:rsidR="00B30FE0" w:rsidRPr="00255944" w:rsidRDefault="00B30FE0" w:rsidP="00B30FE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r>
        <w:tab/>
        <w:t>This bill permits the reorganization of a health service corporation (Horizon Blue Cross Blue Shield of New Jersey) into a mutual holding company, subject to Department of Banking and Insurance approval.  The department may contract with experts and consultants in examining an application with the costs of the outside services charged to the applicant.</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If the reorganization is approved and takes effect before June 1, 2022, the company must pay a one-time $600 million assessment to the State by June 1, 2022.  If the reorganization takes effect after that date, the payment will be due by June 1 of the calendar year following the reorganization.   </w:t>
      </w:r>
    </w:p>
    <w:p w:rsidR="00B30FE0" w:rsidRDefault="00B30FE0" w:rsidP="00B30FE0">
      <w:pPr>
        <w:tabs>
          <w:tab w:val="left" w:pos="360"/>
          <w:tab w:val="left" w:pos="720"/>
          <w:tab w:val="left" w:pos="1440"/>
          <w:tab w:val="left" w:pos="2160"/>
          <w:tab w:val="left" w:pos="2880"/>
          <w:tab w:val="left" w:pos="3600"/>
          <w:tab w:val="left" w:pos="4320"/>
          <w:tab w:val="left" w:pos="5040"/>
        </w:tabs>
      </w:pPr>
      <w:r>
        <w:tab/>
        <w:t>For 17 years beginning with the calendar year following the initial assessment, the mutual holding company must also pay to the State an annual limited duration business tax by June 1 of each year.  Total limited duration business tax payments over the 17-year period cannot exceed $650 million with the payment in each year determined according to the following schedule:</w:t>
      </w:r>
    </w:p>
    <w:p w:rsidR="00B30FE0" w:rsidRDefault="00B30FE0" w:rsidP="00B30FE0">
      <w:pPr>
        <w:tabs>
          <w:tab w:val="left" w:pos="360"/>
          <w:tab w:val="left" w:pos="720"/>
          <w:tab w:val="left" w:pos="1440"/>
          <w:tab w:val="left" w:pos="2160"/>
          <w:tab w:val="left" w:pos="2880"/>
          <w:tab w:val="left" w:pos="3600"/>
          <w:tab w:val="left" w:pos="4320"/>
          <w:tab w:val="left" w:pos="5040"/>
        </w:tabs>
      </w:pPr>
      <w:r>
        <w:tab/>
        <w:t>(1)  In the first assessment year, 20 percent of the reorganized insurer’s earned premiums in the preceding calendar year, with the assessment not to exceed $100 million.</w:t>
      </w:r>
    </w:p>
    <w:p w:rsidR="00B30FE0" w:rsidRDefault="00B30FE0" w:rsidP="00B30FE0">
      <w:pPr>
        <w:tabs>
          <w:tab w:val="left" w:pos="360"/>
          <w:tab w:val="left" w:pos="720"/>
          <w:tab w:val="left" w:pos="1440"/>
          <w:tab w:val="left" w:pos="2160"/>
          <w:tab w:val="left" w:pos="2880"/>
          <w:tab w:val="left" w:pos="3600"/>
          <w:tab w:val="left" w:pos="4320"/>
          <w:tab w:val="left" w:pos="5040"/>
        </w:tabs>
      </w:pPr>
      <w:r>
        <w:tab/>
        <w:t>(2)  In each of the next ten assessment years, 5 percent of the reorganized insurer’s earned premiums in the preceding calendar year, with each year’s assessment not to exceed $25 million.</w:t>
      </w:r>
    </w:p>
    <w:p w:rsidR="00B30FE0" w:rsidRDefault="00B30FE0" w:rsidP="00B30FE0">
      <w:pPr>
        <w:tabs>
          <w:tab w:val="left" w:pos="360"/>
          <w:tab w:val="left" w:pos="720"/>
          <w:tab w:val="left" w:pos="1440"/>
          <w:tab w:val="left" w:pos="2160"/>
          <w:tab w:val="left" w:pos="2880"/>
          <w:tab w:val="left" w:pos="3600"/>
          <w:tab w:val="left" w:pos="4320"/>
          <w:tab w:val="left" w:pos="5040"/>
        </w:tabs>
      </w:pPr>
      <w:r>
        <w:tab/>
        <w:t>(3)  In each of the last six assessment years, 10 percent of the reorganized insurer’s earned premiums in the preceding calendar year, with each year’s assessment not to exceed $50 million.</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If the mutual holding company does not pay the required assessment for a given calendar year, that payment, along with the remaining payment schedule, will be deferred one year.  Any payment obligation required under the assessment schedule that remains deferred and outstanding 25 years from the date the reorganization takes effect will be cancelled.  </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Lastly, the reorganized entity will continue to be subject to the State’s insurance premium tax but will newly qualify for a cap on the total tax liability that applies to other insurers under current law.  Currently, a health service corporation pays insurance premium tax on 100 percent of premiums earned in New Jersey at the following rates: 2.1 percent for premiums paid on individual, or “non-group” business and 1.05 percent on group accident and health insurance premiums.  Under the bill, the calculation of the base tax liability will not change, but if the company’s New Jersey premiums exceed 12.5 percent of its total worldwide premiums, it will pay not more than 12.5 percent of worldwide premiums earned.  </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pStyle w:val="SectionHeading"/>
        <w:tabs>
          <w:tab w:val="left" w:pos="360"/>
          <w:tab w:val="left" w:pos="720"/>
          <w:tab w:val="left" w:pos="1440"/>
          <w:tab w:val="left" w:pos="2160"/>
          <w:tab w:val="left" w:pos="2880"/>
          <w:tab w:val="left" w:pos="3600"/>
          <w:tab w:val="left" w:pos="4320"/>
          <w:tab w:val="left" w:pos="5040"/>
        </w:tabs>
      </w:pPr>
      <w:r>
        <w:t>FISCAL ANALYSIS</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pStyle w:val="InterSectionHeading"/>
        <w:tabs>
          <w:tab w:val="left" w:pos="720"/>
          <w:tab w:val="left" w:pos="1440"/>
          <w:tab w:val="left" w:pos="2160"/>
          <w:tab w:val="left" w:pos="2880"/>
          <w:tab w:val="left" w:pos="3600"/>
          <w:tab w:val="left" w:pos="4320"/>
          <w:tab w:val="left" w:pos="5040"/>
        </w:tabs>
      </w:pPr>
      <w:r>
        <w:t>EXECUTIVE BRANCH</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C54157" w:rsidRDefault="00B30FE0" w:rsidP="00C54157">
      <w:pPr>
        <w:tabs>
          <w:tab w:val="left" w:pos="360"/>
          <w:tab w:val="left" w:pos="720"/>
          <w:tab w:val="left" w:pos="1440"/>
          <w:tab w:val="left" w:pos="2160"/>
          <w:tab w:val="left" w:pos="2880"/>
          <w:tab w:val="left" w:pos="3600"/>
          <w:tab w:val="left" w:pos="4320"/>
          <w:tab w:val="left" w:pos="5040"/>
        </w:tabs>
      </w:pPr>
      <w:r>
        <w:tab/>
        <w:t>None received.</w:t>
      </w:r>
      <w:r w:rsidR="00C54157">
        <w:br w:type="page"/>
      </w:r>
    </w:p>
    <w:p w:rsidR="00B30FE0" w:rsidRDefault="00B30FE0" w:rsidP="00B30FE0">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The OLS projects that the bill will lower annual State revenue collections by varying amounts in each fiscal year with the exception of revenue gains in FY 2022 and FY 2023.  In addition, indeterminate one-time State expenditures will accrue as the Department of Banking and Insurance will examine and rule on any reorganization application.  The added responsibility may include the engagement of outside experts and consultants, the cost of whose services would ultimately be recouped from the applicant.  </w:t>
      </w:r>
    </w:p>
    <w:p w:rsidR="00C9067C" w:rsidRDefault="00B30FE0" w:rsidP="00C9067C">
      <w:pPr>
        <w:tabs>
          <w:tab w:val="left" w:pos="360"/>
          <w:tab w:val="left" w:pos="720"/>
          <w:tab w:val="left" w:pos="1440"/>
          <w:tab w:val="left" w:pos="2160"/>
          <w:tab w:val="left" w:pos="2880"/>
          <w:tab w:val="left" w:pos="3600"/>
          <w:tab w:val="left" w:pos="4320"/>
          <w:tab w:val="left" w:pos="5040"/>
        </w:tabs>
      </w:pPr>
      <w:r>
        <w:tab/>
        <w:t>For purposes of this revenue impact analysis, the OLS</w:t>
      </w:r>
      <w:r w:rsidRPr="00646254">
        <w:t xml:space="preserve"> </w:t>
      </w:r>
      <w:r>
        <w:t xml:space="preserve">builds two scenarios.  For the first scenario, the OLS </w:t>
      </w:r>
      <w:r w:rsidRPr="00646254">
        <w:t>assume</w:t>
      </w:r>
      <w:r>
        <w:t>s</w:t>
      </w:r>
      <w:r w:rsidRPr="00646254">
        <w:t xml:space="preserve"> </w:t>
      </w:r>
      <w:r>
        <w:t>two-percent</w:t>
      </w:r>
      <w:r w:rsidRPr="00646254">
        <w:t xml:space="preserve"> growth in </w:t>
      </w:r>
      <w:r>
        <w:t xml:space="preserve">annual taxable premiums </w:t>
      </w:r>
      <w:r w:rsidRPr="00646254">
        <w:t xml:space="preserve">based on the actual average rate of growth in the years for which </w:t>
      </w:r>
      <w:r>
        <w:t>the OLS has</w:t>
      </w:r>
      <w:r w:rsidRPr="00646254">
        <w:t xml:space="preserve"> access to data.  </w:t>
      </w:r>
      <w:r w:rsidR="00C9067C">
        <w:t xml:space="preserve">The OLS bases the second scenario on current Federal Reserve Board projections for the </w:t>
      </w:r>
      <w:r w:rsidR="00C9067C" w:rsidRPr="00FA7F0D">
        <w:t xml:space="preserve">price index for </w:t>
      </w:r>
      <w:r w:rsidR="00C9067C">
        <w:t xml:space="preserve">core </w:t>
      </w:r>
      <w:r w:rsidR="00C9067C" w:rsidRPr="00FA7F0D">
        <w:t xml:space="preserve">personal consumption expenditures </w:t>
      </w:r>
      <w:r w:rsidR="00C9067C">
        <w:t xml:space="preserve">(Core PCE) </w:t>
      </w:r>
      <w:r w:rsidR="00C9067C" w:rsidRPr="00FA7F0D">
        <w:t>excluding food and energy</w:t>
      </w:r>
      <w:r w:rsidR="00C9067C">
        <w:t>.</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The table below displays the difference in annual State tax collections under current law and the bill using both scenarios.  </w:t>
      </w:r>
      <w:r w:rsidRPr="00646254">
        <w:t>As an overarching caveat to t</w:t>
      </w:r>
      <w:r>
        <w:t>hese projections</w:t>
      </w:r>
      <w:r w:rsidRPr="00646254">
        <w:t xml:space="preserve">, </w:t>
      </w:r>
      <w:r>
        <w:t xml:space="preserve">the OLS </w:t>
      </w:r>
      <w:r w:rsidRPr="00646254">
        <w:t>note</w:t>
      </w:r>
      <w:r>
        <w:t>s</w:t>
      </w:r>
      <w:r w:rsidRPr="00646254">
        <w:t xml:space="preserve"> that there is a larger degree of uncertainty </w:t>
      </w:r>
      <w:r>
        <w:t>concerning</w:t>
      </w:r>
      <w:r w:rsidRPr="00646254">
        <w:t xml:space="preserve"> the more distant </w:t>
      </w:r>
      <w:r>
        <w:t>years</w:t>
      </w:r>
      <w:r w:rsidRPr="00646254">
        <w:t xml:space="preserve">.  </w:t>
      </w:r>
    </w:p>
    <w:p w:rsidR="00B30FE0" w:rsidRDefault="00B30FE0" w:rsidP="00B30FE0">
      <w:pPr>
        <w:tabs>
          <w:tab w:val="left" w:pos="360"/>
          <w:tab w:val="left" w:pos="720"/>
          <w:tab w:val="left" w:pos="1440"/>
          <w:tab w:val="left" w:pos="2160"/>
          <w:tab w:val="left" w:pos="2880"/>
          <w:tab w:val="left" w:pos="3600"/>
          <w:tab w:val="left" w:pos="4320"/>
          <w:tab w:val="left" w:pos="5040"/>
        </w:tabs>
      </w:pPr>
    </w:p>
    <w:tbl>
      <w:tblPr>
        <w:tblW w:w="9288" w:type="dxa"/>
        <w:jc w:val="center"/>
        <w:tblLayout w:type="fixed"/>
        <w:tblLook w:val="0000" w:firstRow="0" w:lastRow="0" w:firstColumn="0" w:lastColumn="0" w:noHBand="0" w:noVBand="0"/>
      </w:tblPr>
      <w:tblGrid>
        <w:gridCol w:w="771"/>
        <w:gridCol w:w="1269"/>
        <w:gridCol w:w="1152"/>
        <w:gridCol w:w="1245"/>
        <w:gridCol w:w="253"/>
        <w:gridCol w:w="854"/>
        <w:gridCol w:w="1260"/>
        <w:gridCol w:w="1250"/>
        <w:gridCol w:w="1234"/>
      </w:tblGrid>
      <w:tr w:rsidR="00B30FE0" w:rsidTr="000E538C">
        <w:trPr>
          <w:trHeight w:val="558"/>
          <w:jc w:val="center"/>
        </w:trPr>
        <w:tc>
          <w:tcPr>
            <w:tcW w:w="9288" w:type="dxa"/>
            <w:gridSpan w:val="9"/>
            <w:tcBorders>
              <w:top w:val="single" w:sz="18" w:space="0" w:color="auto"/>
              <w:left w:val="single" w:sz="18" w:space="0" w:color="auto"/>
              <w:bottom w:val="single" w:sz="18" w:space="0" w:color="auto"/>
              <w:right w:val="single" w:sz="18" w:space="0" w:color="auto"/>
            </w:tcBorders>
            <w:vAlign w:val="center"/>
          </w:tcPr>
          <w:p w:rsidR="00B30FE0" w:rsidRPr="0059782E" w:rsidRDefault="00B30FE0" w:rsidP="000E538C">
            <w:pPr>
              <w:autoSpaceDE w:val="0"/>
              <w:autoSpaceDN w:val="0"/>
              <w:adjustRightInd w:val="0"/>
              <w:spacing w:line="240" w:lineRule="auto"/>
              <w:jc w:val="center"/>
              <w:rPr>
                <w:b/>
                <w:color w:val="000000"/>
                <w:sz w:val="22"/>
                <w:szCs w:val="22"/>
              </w:rPr>
            </w:pPr>
            <w:r w:rsidRPr="0059782E">
              <w:rPr>
                <w:b/>
                <w:color w:val="000000"/>
                <w:sz w:val="22"/>
                <w:szCs w:val="22"/>
              </w:rPr>
              <w:t>State Revenue Collection</w:t>
            </w:r>
            <w:r>
              <w:rPr>
                <w:b/>
                <w:color w:val="000000"/>
                <w:sz w:val="22"/>
                <w:szCs w:val="22"/>
              </w:rPr>
              <w:t>s</w:t>
            </w:r>
            <w:r w:rsidRPr="0059782E">
              <w:rPr>
                <w:b/>
                <w:color w:val="000000"/>
                <w:sz w:val="22"/>
                <w:szCs w:val="22"/>
              </w:rPr>
              <w:t xml:space="preserve"> under Current Law and Bill  (in </w:t>
            </w:r>
            <w:r>
              <w:rPr>
                <w:b/>
                <w:color w:val="000000"/>
                <w:sz w:val="22"/>
                <w:szCs w:val="22"/>
              </w:rPr>
              <w:t xml:space="preserve">$ </w:t>
            </w:r>
            <w:r w:rsidRPr="0059782E">
              <w:rPr>
                <w:b/>
                <w:color w:val="000000"/>
                <w:sz w:val="22"/>
                <w:szCs w:val="22"/>
              </w:rPr>
              <w:t>Millions)</w:t>
            </w:r>
          </w:p>
        </w:tc>
      </w:tr>
      <w:tr w:rsidR="00B30FE0" w:rsidTr="000E538C">
        <w:trPr>
          <w:trHeight w:val="704"/>
          <w:jc w:val="center"/>
        </w:trPr>
        <w:tc>
          <w:tcPr>
            <w:tcW w:w="4437" w:type="dxa"/>
            <w:gridSpan w:val="4"/>
            <w:tcBorders>
              <w:top w:val="single" w:sz="18" w:space="0" w:color="auto"/>
              <w:left w:val="single" w:sz="18" w:space="0" w:color="auto"/>
              <w:bottom w:val="single" w:sz="12" w:space="0" w:color="auto"/>
              <w:right w:val="single" w:sz="12" w:space="0" w:color="auto"/>
            </w:tcBorders>
            <w:shd w:val="clear" w:color="auto" w:fill="BFBFBF" w:themeFill="background1" w:themeFillShade="BF"/>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Scenario 2: Core PCE Growth as Inflator of      Insurance Premiums</w:t>
            </w:r>
          </w:p>
        </w:tc>
        <w:tc>
          <w:tcPr>
            <w:tcW w:w="253" w:type="dxa"/>
            <w:tcBorders>
              <w:top w:val="single" w:sz="18" w:space="0" w:color="auto"/>
              <w:left w:val="nil"/>
              <w:right w:val="nil"/>
            </w:tcBorders>
            <w:vAlign w:val="center"/>
          </w:tcPr>
          <w:p w:rsidR="00B30FE0" w:rsidRDefault="00B30FE0" w:rsidP="000E538C">
            <w:pPr>
              <w:autoSpaceDE w:val="0"/>
              <w:autoSpaceDN w:val="0"/>
              <w:adjustRightInd w:val="0"/>
              <w:spacing w:line="240" w:lineRule="auto"/>
              <w:jc w:val="center"/>
              <w:rPr>
                <w:color w:val="000000"/>
                <w:sz w:val="20"/>
                <w:szCs w:val="20"/>
              </w:rPr>
            </w:pPr>
          </w:p>
        </w:tc>
        <w:tc>
          <w:tcPr>
            <w:tcW w:w="4598" w:type="dxa"/>
            <w:gridSpan w:val="4"/>
            <w:tcBorders>
              <w:top w:val="single" w:sz="18" w:space="0" w:color="auto"/>
              <w:left w:val="single" w:sz="12" w:space="0" w:color="auto"/>
              <w:bottom w:val="single" w:sz="12" w:space="0" w:color="auto"/>
              <w:right w:val="single" w:sz="18" w:space="0" w:color="auto"/>
            </w:tcBorders>
            <w:shd w:val="clear" w:color="auto" w:fill="BFBFBF" w:themeFill="background1" w:themeFillShade="BF"/>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Scenario 1: Two-Percent Growth as Inflator of Insurance Premiums Based on Historical Data</w:t>
            </w:r>
          </w:p>
        </w:tc>
      </w:tr>
      <w:tr w:rsidR="00B30FE0" w:rsidTr="000E538C">
        <w:trPr>
          <w:trHeight w:val="584"/>
          <w:jc w:val="center"/>
        </w:trPr>
        <w:tc>
          <w:tcPr>
            <w:tcW w:w="771" w:type="dxa"/>
            <w:tcBorders>
              <w:top w:val="single" w:sz="12" w:space="0" w:color="auto"/>
              <w:left w:val="single" w:sz="18"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Fiscal Year</w:t>
            </w:r>
          </w:p>
        </w:tc>
        <w:tc>
          <w:tcPr>
            <w:tcW w:w="1269" w:type="dxa"/>
            <w:tcBorders>
              <w:top w:val="single" w:sz="12" w:space="0" w:color="auto"/>
              <w:left w:val="single" w:sz="6"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Current Law</w:t>
            </w:r>
          </w:p>
        </w:tc>
        <w:tc>
          <w:tcPr>
            <w:tcW w:w="1152" w:type="dxa"/>
            <w:tcBorders>
              <w:top w:val="single" w:sz="12" w:space="0" w:color="auto"/>
              <w:left w:val="single" w:sz="6"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 xml:space="preserve">Bill </w:t>
            </w:r>
          </w:p>
        </w:tc>
        <w:tc>
          <w:tcPr>
            <w:tcW w:w="1245" w:type="dxa"/>
            <w:tcBorders>
              <w:top w:val="single" w:sz="12" w:space="0" w:color="auto"/>
              <w:left w:val="single" w:sz="6" w:space="0" w:color="auto"/>
              <w:bottom w:val="single" w:sz="6" w:space="0" w:color="auto"/>
              <w:right w:val="single" w:sz="12" w:space="0" w:color="auto"/>
            </w:tcBorders>
            <w:shd w:val="solid" w:color="FFFFFF" w:fill="auto"/>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Net Impact: Bill - Current Law</w:t>
            </w:r>
          </w:p>
        </w:tc>
        <w:tc>
          <w:tcPr>
            <w:tcW w:w="253" w:type="dxa"/>
            <w:tcBorders>
              <w:top w:val="nil"/>
              <w:left w:val="nil"/>
              <w:bottom w:val="single" w:sz="6" w:space="0" w:color="auto"/>
              <w:right w:val="single" w:sz="12" w:space="0" w:color="auto"/>
            </w:tcBorders>
          </w:tcPr>
          <w:p w:rsidR="00B30FE0" w:rsidRDefault="00B30FE0" w:rsidP="000E538C">
            <w:pPr>
              <w:autoSpaceDE w:val="0"/>
              <w:autoSpaceDN w:val="0"/>
              <w:adjustRightInd w:val="0"/>
              <w:spacing w:line="240" w:lineRule="auto"/>
              <w:jc w:val="center"/>
              <w:rPr>
                <w:color w:val="000000"/>
                <w:sz w:val="20"/>
                <w:szCs w:val="20"/>
              </w:rPr>
            </w:pPr>
          </w:p>
        </w:tc>
        <w:tc>
          <w:tcPr>
            <w:tcW w:w="854" w:type="dxa"/>
            <w:tcBorders>
              <w:left w:val="single" w:sz="12"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Fiscal Year</w:t>
            </w:r>
          </w:p>
        </w:tc>
        <w:tc>
          <w:tcPr>
            <w:tcW w:w="1260" w:type="dxa"/>
            <w:tcBorders>
              <w:left w:val="single" w:sz="6"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Current Law</w:t>
            </w:r>
          </w:p>
        </w:tc>
        <w:tc>
          <w:tcPr>
            <w:tcW w:w="1250" w:type="dxa"/>
            <w:tcBorders>
              <w:top w:val="single" w:sz="12" w:space="0" w:color="auto"/>
              <w:left w:val="single" w:sz="6" w:space="0" w:color="auto"/>
              <w:bottom w:val="single" w:sz="6" w:space="0" w:color="auto"/>
              <w:right w:val="single" w:sz="6" w:space="0" w:color="auto"/>
            </w:tcBorders>
            <w:shd w:val="solid" w:color="FFFFFF" w:fill="auto"/>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Bill</w:t>
            </w:r>
          </w:p>
        </w:tc>
        <w:tc>
          <w:tcPr>
            <w:tcW w:w="1234" w:type="dxa"/>
            <w:tcBorders>
              <w:top w:val="single" w:sz="12" w:space="0" w:color="auto"/>
              <w:left w:val="single" w:sz="6" w:space="0" w:color="auto"/>
              <w:bottom w:val="single" w:sz="6" w:space="0" w:color="auto"/>
              <w:right w:val="single" w:sz="18" w:space="0" w:color="auto"/>
            </w:tcBorders>
            <w:shd w:val="solid" w:color="FFFFFF" w:fill="auto"/>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Net Impact: Bill - Current Law</w:t>
            </w:r>
          </w:p>
        </w:tc>
      </w:tr>
      <w:tr w:rsidR="00B30FE0" w:rsidTr="000E538C">
        <w:trPr>
          <w:trHeight w:val="334"/>
          <w:jc w:val="center"/>
        </w:trPr>
        <w:tc>
          <w:tcPr>
            <w:tcW w:w="771" w:type="dxa"/>
            <w:tcBorders>
              <w:top w:val="single" w:sz="6" w:space="0" w:color="auto"/>
              <w:left w:val="single" w:sz="18"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2021</w:t>
            </w:r>
          </w:p>
        </w:tc>
        <w:tc>
          <w:tcPr>
            <w:tcW w:w="1269" w:type="dxa"/>
            <w:tcBorders>
              <w:top w:val="single" w:sz="6" w:space="0" w:color="auto"/>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$62.7 - $69.3</w:t>
            </w:r>
          </w:p>
        </w:tc>
        <w:tc>
          <w:tcPr>
            <w:tcW w:w="1152" w:type="dxa"/>
            <w:tcBorders>
              <w:top w:val="single" w:sz="6" w:space="0" w:color="auto"/>
              <w:left w:val="single" w:sz="6"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$7.8 - $8.2</w:t>
            </w:r>
          </w:p>
        </w:tc>
        <w:tc>
          <w:tcPr>
            <w:tcW w:w="1245" w:type="dxa"/>
            <w:tcBorders>
              <w:top w:val="single" w:sz="6" w:space="0" w:color="auto"/>
              <w:left w:val="single" w:sz="6" w:space="0" w:color="auto"/>
              <w:bottom w:val="single" w:sz="6" w:space="0" w:color="auto"/>
              <w:right w:val="single" w:sz="12"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($54.9) – ($60.6)</w:t>
            </w:r>
          </w:p>
        </w:tc>
        <w:tc>
          <w:tcPr>
            <w:tcW w:w="253" w:type="dxa"/>
            <w:tcBorders>
              <w:top w:val="single" w:sz="6" w:space="0" w:color="auto"/>
              <w:left w:val="nil"/>
              <w:bottom w:val="nil"/>
              <w:right w:val="nil"/>
            </w:tcBorders>
          </w:tcPr>
          <w:p w:rsidR="00B30FE0" w:rsidRDefault="00B30FE0" w:rsidP="000E538C">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2021</w:t>
            </w:r>
          </w:p>
        </w:tc>
        <w:tc>
          <w:tcPr>
            <w:tcW w:w="1260" w:type="dxa"/>
            <w:tcBorders>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$64.6 - $71.5</w:t>
            </w:r>
          </w:p>
        </w:tc>
        <w:tc>
          <w:tcPr>
            <w:tcW w:w="1250" w:type="dxa"/>
            <w:tcBorders>
              <w:top w:val="single" w:sz="6" w:space="0" w:color="auto"/>
              <w:left w:val="single" w:sz="6"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$8.1 - $8.9</w:t>
            </w:r>
          </w:p>
        </w:tc>
        <w:tc>
          <w:tcPr>
            <w:tcW w:w="1234" w:type="dxa"/>
            <w:tcBorders>
              <w:top w:val="single" w:sz="6" w:space="0" w:color="auto"/>
              <w:left w:val="single" w:sz="6" w:space="0" w:color="auto"/>
              <w:bottom w:val="single" w:sz="6" w:space="0" w:color="auto"/>
              <w:right w:val="single" w:sz="18"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($56.6) – ($62.5)</w:t>
            </w:r>
          </w:p>
        </w:tc>
      </w:tr>
      <w:tr w:rsidR="00B30FE0" w:rsidTr="000E538C">
        <w:trPr>
          <w:trHeight w:val="334"/>
          <w:jc w:val="center"/>
        </w:trPr>
        <w:tc>
          <w:tcPr>
            <w:tcW w:w="771" w:type="dxa"/>
            <w:tcBorders>
              <w:top w:val="single" w:sz="6" w:space="0" w:color="auto"/>
              <w:left w:val="single" w:sz="18"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2022</w:t>
            </w:r>
          </w:p>
        </w:tc>
        <w:tc>
          <w:tcPr>
            <w:tcW w:w="1269" w:type="dxa"/>
            <w:tcBorders>
              <w:top w:val="single" w:sz="6" w:space="0" w:color="auto"/>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$63.8 - $70.5</w:t>
            </w:r>
          </w:p>
        </w:tc>
        <w:tc>
          <w:tcPr>
            <w:tcW w:w="1152" w:type="dxa"/>
            <w:tcBorders>
              <w:top w:val="single" w:sz="6" w:space="0" w:color="auto"/>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$608.0 - $608.8</w:t>
            </w:r>
          </w:p>
        </w:tc>
        <w:tc>
          <w:tcPr>
            <w:tcW w:w="1245" w:type="dxa"/>
            <w:tcBorders>
              <w:top w:val="single" w:sz="6" w:space="0" w:color="auto"/>
              <w:left w:val="single" w:sz="6" w:space="0" w:color="auto"/>
              <w:bottom w:val="single" w:sz="6" w:space="0" w:color="auto"/>
              <w:right w:val="single" w:sz="12"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$506.2 - $559.5</w:t>
            </w:r>
          </w:p>
        </w:tc>
        <w:tc>
          <w:tcPr>
            <w:tcW w:w="253" w:type="dxa"/>
            <w:tcBorders>
              <w:top w:val="nil"/>
              <w:left w:val="nil"/>
              <w:bottom w:val="nil"/>
              <w:right w:val="nil"/>
            </w:tcBorders>
          </w:tcPr>
          <w:p w:rsidR="00B30FE0" w:rsidRDefault="00B30FE0" w:rsidP="000E538C">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6" w:space="0" w:color="auto"/>
              <w:right w:val="single" w:sz="6" w:space="0" w:color="auto"/>
            </w:tcBorders>
            <w:vAlign w:val="center"/>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2022</w:t>
            </w:r>
          </w:p>
        </w:tc>
        <w:tc>
          <w:tcPr>
            <w:tcW w:w="1260" w:type="dxa"/>
            <w:tcBorders>
              <w:top w:val="single" w:sz="6" w:space="0" w:color="auto"/>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$66.6 - $73.6</w:t>
            </w:r>
          </w:p>
        </w:tc>
        <w:tc>
          <w:tcPr>
            <w:tcW w:w="1250" w:type="dxa"/>
            <w:tcBorders>
              <w:top w:val="single" w:sz="6" w:space="0" w:color="auto"/>
              <w:left w:val="single" w:sz="6" w:space="0" w:color="auto"/>
              <w:bottom w:val="single" w:sz="6"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$608.3 - $609.2</w:t>
            </w:r>
          </w:p>
        </w:tc>
        <w:tc>
          <w:tcPr>
            <w:tcW w:w="1234" w:type="dxa"/>
            <w:tcBorders>
              <w:top w:val="single" w:sz="6" w:space="0" w:color="auto"/>
              <w:left w:val="single" w:sz="6" w:space="0" w:color="auto"/>
              <w:bottom w:val="single" w:sz="6" w:space="0" w:color="auto"/>
              <w:right w:val="single" w:sz="18"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$511.7 - $565.6</w:t>
            </w:r>
          </w:p>
        </w:tc>
      </w:tr>
      <w:tr w:rsidR="00B30FE0" w:rsidTr="000E538C">
        <w:trPr>
          <w:trHeight w:val="334"/>
          <w:jc w:val="center"/>
        </w:trPr>
        <w:tc>
          <w:tcPr>
            <w:tcW w:w="771" w:type="dxa"/>
            <w:tcBorders>
              <w:top w:val="single" w:sz="6" w:space="0" w:color="auto"/>
              <w:left w:val="single" w:sz="18" w:space="0" w:color="auto"/>
              <w:bottom w:val="single" w:sz="18"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2023 – 2039</w:t>
            </w:r>
          </w:p>
        </w:tc>
        <w:tc>
          <w:tcPr>
            <w:tcW w:w="1269" w:type="dxa"/>
            <w:tcBorders>
              <w:top w:val="nil"/>
              <w:left w:val="nil"/>
              <w:bottom w:val="single" w:sz="18" w:space="0" w:color="auto"/>
              <w:right w:val="nil"/>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$1,520.2 - $1,680.2</w:t>
            </w:r>
          </w:p>
        </w:tc>
        <w:tc>
          <w:tcPr>
            <w:tcW w:w="1152" w:type="dxa"/>
            <w:tcBorders>
              <w:top w:val="single" w:sz="6" w:space="0" w:color="auto"/>
              <w:left w:val="single" w:sz="6" w:space="0" w:color="auto"/>
              <w:bottom w:val="single" w:sz="18"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$840.0 - $860.0</w:t>
            </w:r>
          </w:p>
        </w:tc>
        <w:tc>
          <w:tcPr>
            <w:tcW w:w="1245" w:type="dxa"/>
            <w:tcBorders>
              <w:top w:val="single" w:sz="6" w:space="0" w:color="auto"/>
              <w:left w:val="single" w:sz="6" w:space="0" w:color="auto"/>
              <w:bottom w:val="single" w:sz="18" w:space="0" w:color="auto"/>
              <w:right w:val="single" w:sz="12"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($712.7) – ($787.7)</w:t>
            </w:r>
          </w:p>
        </w:tc>
        <w:tc>
          <w:tcPr>
            <w:tcW w:w="253" w:type="dxa"/>
            <w:tcBorders>
              <w:top w:val="nil"/>
              <w:left w:val="nil"/>
              <w:bottom w:val="single" w:sz="18" w:space="0" w:color="auto"/>
              <w:right w:val="nil"/>
            </w:tcBorders>
          </w:tcPr>
          <w:p w:rsidR="00B30FE0" w:rsidRDefault="00B30FE0" w:rsidP="000E538C">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18"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2023 - 2039</w:t>
            </w:r>
          </w:p>
        </w:tc>
        <w:tc>
          <w:tcPr>
            <w:tcW w:w="1260" w:type="dxa"/>
            <w:tcBorders>
              <w:top w:val="nil"/>
              <w:left w:val="nil"/>
              <w:bottom w:val="single" w:sz="18" w:space="0" w:color="auto"/>
              <w:right w:val="nil"/>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$1,665.1 - $1,840.4</w:t>
            </w:r>
          </w:p>
        </w:tc>
        <w:tc>
          <w:tcPr>
            <w:tcW w:w="1250" w:type="dxa"/>
            <w:tcBorders>
              <w:top w:val="single" w:sz="6" w:space="0" w:color="auto"/>
              <w:left w:val="single" w:sz="6" w:space="0" w:color="auto"/>
              <w:bottom w:val="single" w:sz="18" w:space="0" w:color="auto"/>
              <w:right w:val="single" w:sz="6"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$858.1 - $880.1</w:t>
            </w:r>
          </w:p>
        </w:tc>
        <w:tc>
          <w:tcPr>
            <w:tcW w:w="1234" w:type="dxa"/>
            <w:tcBorders>
              <w:top w:val="single" w:sz="6" w:space="0" w:color="auto"/>
              <w:left w:val="single" w:sz="6" w:space="0" w:color="auto"/>
              <w:bottom w:val="single" w:sz="18" w:space="0" w:color="auto"/>
              <w:right w:val="single" w:sz="18" w:space="0" w:color="auto"/>
            </w:tcBorders>
          </w:tcPr>
          <w:p w:rsidR="00B30FE0" w:rsidRDefault="00B30FE0" w:rsidP="000E538C">
            <w:pPr>
              <w:autoSpaceDE w:val="0"/>
              <w:autoSpaceDN w:val="0"/>
              <w:adjustRightInd w:val="0"/>
              <w:spacing w:line="240" w:lineRule="auto"/>
              <w:jc w:val="center"/>
              <w:rPr>
                <w:color w:val="000000"/>
                <w:sz w:val="20"/>
                <w:szCs w:val="20"/>
              </w:rPr>
            </w:pPr>
            <w:r>
              <w:rPr>
                <w:color w:val="000000"/>
                <w:sz w:val="20"/>
                <w:szCs w:val="20"/>
              </w:rPr>
              <w:t>($839.5) – ($927.9)</w:t>
            </w:r>
          </w:p>
        </w:tc>
      </w:tr>
    </w:tbl>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First, as shown in the table, under both scenarios combined, the OLS estimates that the bill will decrease State insurance premiums tax collections by at least $54.9 million and at most $62.5 million in FY 2021, assuming that the reorganization will already affect insurance premium tax payments that are due and payable in March and June of 2021.  </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Second, the bill imposes a one-time $600.0 million assessment on Horizon Blue Cross Blue Shield of New Jersey payable to the Department of the Treasury on June 1, 2022, provided that the reorganization takes effect before June 1, 2022.  Therefore, the OLS estimates that the bill will likely result in a net increase in State revenues by a range of $506.2 million and $565.6 million in FY 2022 after subtracting the projected revenue loss from reduced insurance premium tax liabilities.  </w:t>
      </w:r>
    </w:p>
    <w:p w:rsidR="00B30FE0" w:rsidRDefault="00B30FE0" w:rsidP="00B30FE0">
      <w:pPr>
        <w:tabs>
          <w:tab w:val="left" w:pos="360"/>
          <w:tab w:val="left" w:pos="720"/>
          <w:tab w:val="left" w:pos="1440"/>
          <w:tab w:val="left" w:pos="2160"/>
          <w:tab w:val="left" w:pos="2880"/>
          <w:tab w:val="left" w:pos="3600"/>
          <w:tab w:val="left" w:pos="4320"/>
          <w:tab w:val="left" w:pos="5040"/>
        </w:tabs>
      </w:pPr>
      <w:r>
        <w:tab/>
        <w:t xml:space="preserve">Third, the OLS further forecasts that for fiscal </w:t>
      </w:r>
      <w:r w:rsidRPr="00150AF5">
        <w:t>years 2023 to 2039, the potential combined net revenue loss to the State may be between $712.7 million and $927.9 million.  The</w:t>
      </w:r>
      <w:r>
        <w:t xml:space="preserve"> OLS opts for FY 2039 as the endpoint of its range because FY 2039 will likely be the last year in which the mutual holding company will pay an assessment to the State.  Starting in FY 2040, the bill’s sole fiscal impact will be an annual loss in insurance premium tax revenue.    </w:t>
      </w:r>
    </w:p>
    <w:p w:rsidR="00C54157" w:rsidRDefault="00B30FE0" w:rsidP="00C54157">
      <w:pPr>
        <w:tabs>
          <w:tab w:val="left" w:pos="360"/>
          <w:tab w:val="left" w:pos="720"/>
          <w:tab w:val="left" w:pos="1440"/>
          <w:tab w:val="left" w:pos="2160"/>
          <w:tab w:val="left" w:pos="2880"/>
          <w:tab w:val="left" w:pos="3600"/>
          <w:tab w:val="left" w:pos="4320"/>
          <w:tab w:val="left" w:pos="5040"/>
        </w:tabs>
      </w:pPr>
      <w:r>
        <w:tab/>
        <w:t xml:space="preserve">The table below shows a forecast of the impact of the bill on State revenue collections per fiscal year from FY 2021 through FY 2042 using the midpoint estimates of scenario 1 above.  </w:t>
      </w:r>
      <w:r w:rsidR="00C54157">
        <w:br w:type="page"/>
      </w:r>
    </w:p>
    <w:tbl>
      <w:tblPr>
        <w:tblW w:w="93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38"/>
        <w:gridCol w:w="1552"/>
        <w:gridCol w:w="1530"/>
        <w:gridCol w:w="1620"/>
        <w:gridCol w:w="1710"/>
        <w:gridCol w:w="1800"/>
      </w:tblGrid>
      <w:tr w:rsidR="00B30FE0" w:rsidRPr="00F11F17" w:rsidTr="000E538C">
        <w:trPr>
          <w:trHeight w:val="564"/>
        </w:trPr>
        <w:tc>
          <w:tcPr>
            <w:tcW w:w="9350" w:type="dxa"/>
            <w:gridSpan w:val="6"/>
            <w:tcBorders>
              <w:top w:val="single" w:sz="18" w:space="0" w:color="auto"/>
              <w:bottom w:val="single" w:sz="18" w:space="0" w:color="auto"/>
            </w:tcBorders>
            <w:shd w:val="clear" w:color="auto" w:fill="auto"/>
            <w:noWrap/>
            <w:vAlign w:val="center"/>
            <w:hideMark/>
          </w:tcPr>
          <w:p w:rsidR="00B30FE0" w:rsidRPr="00F11F17" w:rsidRDefault="00B30FE0" w:rsidP="000E538C">
            <w:pPr>
              <w:spacing w:line="240" w:lineRule="auto"/>
              <w:jc w:val="center"/>
              <w:rPr>
                <w:b/>
                <w:bCs/>
                <w:color w:val="000000"/>
                <w:sz w:val="22"/>
                <w:szCs w:val="22"/>
              </w:rPr>
            </w:pPr>
            <w:r w:rsidRPr="00F11F17">
              <w:rPr>
                <w:b/>
                <w:bCs/>
                <w:color w:val="000000"/>
                <w:sz w:val="22"/>
                <w:szCs w:val="22"/>
              </w:rPr>
              <w:lastRenderedPageBreak/>
              <w:t>Estimated State Revenue Impact per Fiscal Year, FY 2021 through FY 2042</w:t>
            </w:r>
          </w:p>
        </w:tc>
      </w:tr>
      <w:tr w:rsidR="00B30FE0" w:rsidRPr="00F11F17" w:rsidTr="000E538C">
        <w:trPr>
          <w:trHeight w:val="1272"/>
        </w:trPr>
        <w:tc>
          <w:tcPr>
            <w:tcW w:w="1138" w:type="dxa"/>
            <w:tcBorders>
              <w:top w:val="single" w:sz="18" w:space="0" w:color="auto"/>
              <w:bottom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center"/>
              <w:rPr>
                <w:b/>
                <w:bCs/>
                <w:color w:val="000000"/>
                <w:sz w:val="20"/>
                <w:szCs w:val="20"/>
              </w:rPr>
            </w:pPr>
            <w:r w:rsidRPr="00F11F17">
              <w:rPr>
                <w:b/>
                <w:bCs/>
                <w:color w:val="000000"/>
                <w:sz w:val="20"/>
                <w:szCs w:val="20"/>
              </w:rPr>
              <w:t>Fiscal Year</w:t>
            </w:r>
          </w:p>
        </w:tc>
        <w:tc>
          <w:tcPr>
            <w:tcW w:w="1552" w:type="dxa"/>
            <w:tcBorders>
              <w:top w:val="single" w:sz="18" w:space="0" w:color="auto"/>
              <w:left w:val="single" w:sz="8" w:space="0" w:color="auto"/>
              <w:bottom w:val="single" w:sz="8" w:space="0" w:color="auto"/>
              <w:right w:val="single" w:sz="8" w:space="0" w:color="auto"/>
            </w:tcBorders>
            <w:shd w:val="clear" w:color="auto" w:fill="auto"/>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Current Law: Insurance Premium Tax Revenue</w:t>
            </w:r>
          </w:p>
        </w:tc>
        <w:tc>
          <w:tcPr>
            <w:tcW w:w="1530" w:type="dxa"/>
            <w:tcBorders>
              <w:top w:val="single" w:sz="18" w:space="0" w:color="auto"/>
              <w:left w:val="single" w:sz="8" w:space="0" w:color="auto"/>
              <w:bottom w:val="single" w:sz="8" w:space="0" w:color="auto"/>
            </w:tcBorders>
            <w:shd w:val="clear" w:color="auto" w:fill="auto"/>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Bill: Insurance Premium Tax Revenue</w:t>
            </w:r>
          </w:p>
        </w:tc>
        <w:tc>
          <w:tcPr>
            <w:tcW w:w="1620" w:type="dxa"/>
            <w:tcBorders>
              <w:top w:val="single" w:sz="18" w:space="0" w:color="auto"/>
              <w:bottom w:val="single" w:sz="8" w:space="0" w:color="auto"/>
            </w:tcBorders>
            <w:shd w:val="clear" w:color="auto" w:fill="auto"/>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Bill: Assessment Revenue</w:t>
            </w:r>
          </w:p>
        </w:tc>
        <w:tc>
          <w:tcPr>
            <w:tcW w:w="1710" w:type="dxa"/>
            <w:tcBorders>
              <w:top w:val="single" w:sz="18" w:space="0" w:color="auto"/>
              <w:bottom w:val="single" w:sz="8" w:space="0" w:color="auto"/>
              <w:right w:val="single" w:sz="8" w:space="0" w:color="auto"/>
            </w:tcBorders>
            <w:shd w:val="clear" w:color="auto" w:fill="auto"/>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Bill:  Total Revenue</w:t>
            </w:r>
          </w:p>
        </w:tc>
        <w:tc>
          <w:tcPr>
            <w:tcW w:w="1800" w:type="dxa"/>
            <w:tcBorders>
              <w:top w:val="single" w:sz="18" w:space="0" w:color="auto"/>
              <w:left w:val="single" w:sz="8" w:space="0" w:color="auto"/>
              <w:bottom w:val="single" w:sz="8" w:space="0" w:color="auto"/>
            </w:tcBorders>
            <w:shd w:val="clear" w:color="auto" w:fill="auto"/>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Net State Revenue Impact:  Bill Revenue Minus Current Law Revenue</w:t>
            </w:r>
          </w:p>
        </w:tc>
      </w:tr>
      <w:tr w:rsidR="00B30FE0" w:rsidRPr="00F11F17" w:rsidTr="000E538C">
        <w:trPr>
          <w:trHeight w:val="288"/>
        </w:trPr>
        <w:tc>
          <w:tcPr>
            <w:tcW w:w="1138" w:type="dxa"/>
            <w:tcBorders>
              <w:top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2021</w:t>
            </w:r>
          </w:p>
        </w:tc>
        <w:tc>
          <w:tcPr>
            <w:tcW w:w="1552" w:type="dxa"/>
            <w:tcBorders>
              <w:top w:val="single" w:sz="8" w:space="0" w:color="auto"/>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$68,049,010</w:t>
            </w:r>
          </w:p>
        </w:tc>
        <w:tc>
          <w:tcPr>
            <w:tcW w:w="1530" w:type="dxa"/>
            <w:tcBorders>
              <w:top w:val="single" w:sz="8" w:space="0" w:color="auto"/>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$8,506,126</w:t>
            </w:r>
          </w:p>
        </w:tc>
        <w:tc>
          <w:tcPr>
            <w:tcW w:w="1620" w:type="dxa"/>
            <w:tcBorders>
              <w:top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$0</w:t>
            </w:r>
          </w:p>
        </w:tc>
        <w:tc>
          <w:tcPr>
            <w:tcW w:w="1710" w:type="dxa"/>
            <w:tcBorders>
              <w:top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$8,506,126</w:t>
            </w:r>
          </w:p>
        </w:tc>
        <w:tc>
          <w:tcPr>
            <w:tcW w:w="1800" w:type="dxa"/>
            <w:tcBorders>
              <w:top w:val="single" w:sz="8" w:space="0" w:color="auto"/>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-$59,542,883</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2022</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$70,111,058</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$8,763,882</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$600,000,000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$608,763,882</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$538,652,824</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2023</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$72,353,749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$9,044,219</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$109,044,219</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$36,690,470</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2024</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$74,791,187</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$9,348,898</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$34,348,898</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-$40,442,289</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2025</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$77,438,589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$9,679,824</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$34,679,824</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-$42,758,766</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2026</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$80,312,371</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$10,039,046</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$35,039,046</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-$45,273,324</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2027</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$83,430,237</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$10,428,780</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$35,428,780</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-$48,001,458</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2028</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$86,811,289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$10,851,411</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$35,851,411</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-$50,959,878</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2029</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$90,476,130</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$11,309,516</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$36,309,516</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-$54,166,613</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2030</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$94,446,983</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$11,805,873</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$36,805,873</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-$57,641,110</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2031</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$98,747,824</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$12,343,478</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$37,343,478</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-$61,404,346</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2032</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$103,404,513</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$12,925,564</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$37,925,564</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-$65,478,949</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2033</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$108,444,946</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$13,555,618</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$38,555,618</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-$69,889,328</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2034</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$113,899,214</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$14,237,402</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$64,237,402</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-$49,661,812</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2035</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$119,799,776</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$14,974,972</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$64,974,972</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-$54,824,804</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2036</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$126,181,644</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$15,772,706</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$65,772,706</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-$60,408,939</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2037</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$133,082,589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$16,635,324</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$66,635,324</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-$66,447,265</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2038</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$140,543,349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$17,567,919</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$67,567,919</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-$72,975,431</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2039</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$148,607,872</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$18,575,984</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$68,575,984</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-$80,031,888</w:t>
            </w:r>
          </w:p>
        </w:tc>
      </w:tr>
      <w:tr w:rsidR="00B30FE0" w:rsidRPr="00F11F17" w:rsidTr="000E538C">
        <w:trPr>
          <w:trHeight w:val="288"/>
        </w:trPr>
        <w:tc>
          <w:tcPr>
            <w:tcW w:w="1138" w:type="dxa"/>
            <w:tcBorders>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2040</w:t>
            </w:r>
          </w:p>
        </w:tc>
        <w:tc>
          <w:tcPr>
            <w:tcW w:w="1552" w:type="dxa"/>
            <w:tcBorders>
              <w:left w:val="single" w:sz="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$160,299,349</w:t>
            </w:r>
          </w:p>
        </w:tc>
        <w:tc>
          <w:tcPr>
            <w:tcW w:w="153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$20,037,419</w:t>
            </w:r>
          </w:p>
        </w:tc>
        <w:tc>
          <w:tcPr>
            <w:tcW w:w="1620" w:type="dxa"/>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$0</w:t>
            </w:r>
          </w:p>
        </w:tc>
        <w:tc>
          <w:tcPr>
            <w:tcW w:w="1710" w:type="dxa"/>
            <w:tcBorders>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$20,037,419</w:t>
            </w:r>
          </w:p>
        </w:tc>
        <w:tc>
          <w:tcPr>
            <w:tcW w:w="1800" w:type="dxa"/>
            <w:tcBorders>
              <w:lef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-$140,261,931</w:t>
            </w:r>
          </w:p>
        </w:tc>
      </w:tr>
      <w:tr w:rsidR="00B30FE0" w:rsidRPr="00F11F17" w:rsidTr="000E538C">
        <w:trPr>
          <w:trHeight w:val="288"/>
        </w:trPr>
        <w:tc>
          <w:tcPr>
            <w:tcW w:w="1138" w:type="dxa"/>
            <w:tcBorders>
              <w:bottom w:val="nil"/>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2041</w:t>
            </w:r>
          </w:p>
        </w:tc>
        <w:tc>
          <w:tcPr>
            <w:tcW w:w="1552" w:type="dxa"/>
            <w:tcBorders>
              <w:left w:val="single" w:sz="8" w:space="0" w:color="auto"/>
              <w:bottom w:val="nil"/>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$172,910,634</w:t>
            </w:r>
          </w:p>
        </w:tc>
        <w:tc>
          <w:tcPr>
            <w:tcW w:w="1530" w:type="dxa"/>
            <w:tcBorders>
              <w:left w:val="single" w:sz="8" w:space="0" w:color="auto"/>
              <w:bottom w:val="nil"/>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$21,613,829</w:t>
            </w:r>
          </w:p>
        </w:tc>
        <w:tc>
          <w:tcPr>
            <w:tcW w:w="1620" w:type="dxa"/>
            <w:tcBorders>
              <w:bottom w:val="nil"/>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$0</w:t>
            </w:r>
          </w:p>
        </w:tc>
        <w:tc>
          <w:tcPr>
            <w:tcW w:w="1710" w:type="dxa"/>
            <w:tcBorders>
              <w:bottom w:val="nil"/>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$21,613,829</w:t>
            </w:r>
          </w:p>
        </w:tc>
        <w:tc>
          <w:tcPr>
            <w:tcW w:w="1800" w:type="dxa"/>
            <w:tcBorders>
              <w:left w:val="single" w:sz="8" w:space="0" w:color="auto"/>
              <w:bottom w:val="nil"/>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-$151,296,805</w:t>
            </w:r>
          </w:p>
        </w:tc>
      </w:tr>
      <w:tr w:rsidR="00B30FE0" w:rsidRPr="00F11F17" w:rsidTr="000E538C">
        <w:trPr>
          <w:trHeight w:val="300"/>
        </w:trPr>
        <w:tc>
          <w:tcPr>
            <w:tcW w:w="1138" w:type="dxa"/>
            <w:tcBorders>
              <w:top w:val="nil"/>
              <w:bottom w:val="single" w:sz="18" w:space="0" w:color="auto"/>
              <w:right w:val="single" w:sz="8" w:space="0" w:color="auto"/>
            </w:tcBorders>
            <w:shd w:val="clear" w:color="auto" w:fill="auto"/>
            <w:noWrap/>
            <w:vAlign w:val="bottom"/>
            <w:hideMark/>
          </w:tcPr>
          <w:p w:rsidR="00B30FE0" w:rsidRPr="00F11F17" w:rsidRDefault="00B30FE0" w:rsidP="000E538C">
            <w:pPr>
              <w:spacing w:line="240" w:lineRule="auto"/>
              <w:jc w:val="center"/>
              <w:rPr>
                <w:color w:val="000000"/>
                <w:sz w:val="20"/>
                <w:szCs w:val="20"/>
              </w:rPr>
            </w:pPr>
            <w:r w:rsidRPr="00F11F17">
              <w:rPr>
                <w:color w:val="000000"/>
                <w:sz w:val="20"/>
                <w:szCs w:val="20"/>
              </w:rPr>
              <w:t>2042</w:t>
            </w:r>
          </w:p>
        </w:tc>
        <w:tc>
          <w:tcPr>
            <w:tcW w:w="1552" w:type="dxa"/>
            <w:tcBorders>
              <w:top w:val="nil"/>
              <w:left w:val="single" w:sz="8" w:space="0" w:color="auto"/>
              <w:bottom w:val="single" w:sz="1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$186,514,091</w:t>
            </w:r>
          </w:p>
        </w:tc>
        <w:tc>
          <w:tcPr>
            <w:tcW w:w="1530" w:type="dxa"/>
            <w:tcBorders>
              <w:top w:val="nil"/>
              <w:left w:val="single" w:sz="8" w:space="0" w:color="auto"/>
              <w:bottom w:val="single" w:sz="1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$23,314,261</w:t>
            </w:r>
          </w:p>
        </w:tc>
        <w:tc>
          <w:tcPr>
            <w:tcW w:w="1620" w:type="dxa"/>
            <w:tcBorders>
              <w:top w:val="nil"/>
              <w:bottom w:val="single" w:sz="1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$0</w:t>
            </w:r>
          </w:p>
        </w:tc>
        <w:tc>
          <w:tcPr>
            <w:tcW w:w="1710" w:type="dxa"/>
            <w:tcBorders>
              <w:top w:val="nil"/>
              <w:bottom w:val="single" w:sz="1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color w:val="000000"/>
                <w:sz w:val="20"/>
                <w:szCs w:val="20"/>
              </w:rPr>
            </w:pPr>
            <w:r w:rsidRPr="00F11F17">
              <w:rPr>
                <w:color w:val="000000"/>
                <w:sz w:val="20"/>
                <w:szCs w:val="20"/>
              </w:rPr>
              <w:t>$23,314,261</w:t>
            </w:r>
          </w:p>
        </w:tc>
        <w:tc>
          <w:tcPr>
            <w:tcW w:w="1800" w:type="dxa"/>
            <w:tcBorders>
              <w:top w:val="nil"/>
              <w:left w:val="single" w:sz="8" w:space="0" w:color="auto"/>
              <w:bottom w:val="single" w:sz="1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-$163,199,830</w:t>
            </w:r>
          </w:p>
        </w:tc>
      </w:tr>
      <w:tr w:rsidR="00B30FE0" w:rsidRPr="00F11F17" w:rsidTr="000E538C">
        <w:trPr>
          <w:trHeight w:val="300"/>
        </w:trPr>
        <w:tc>
          <w:tcPr>
            <w:tcW w:w="1138" w:type="dxa"/>
            <w:tcBorders>
              <w:top w:val="single" w:sz="18" w:space="0" w:color="auto"/>
              <w:bottom w:val="single" w:sz="18" w:space="0" w:color="auto"/>
              <w:right w:val="single" w:sz="8" w:space="0" w:color="auto"/>
            </w:tcBorders>
            <w:shd w:val="clear" w:color="auto" w:fill="auto"/>
            <w:noWrap/>
            <w:vAlign w:val="bottom"/>
            <w:hideMark/>
          </w:tcPr>
          <w:p w:rsidR="00B30FE0" w:rsidRPr="00F11F17" w:rsidRDefault="00B30FE0" w:rsidP="000E538C">
            <w:pPr>
              <w:spacing w:line="240" w:lineRule="auto"/>
              <w:jc w:val="center"/>
              <w:rPr>
                <w:b/>
                <w:bCs/>
                <w:color w:val="000000"/>
                <w:sz w:val="20"/>
                <w:szCs w:val="20"/>
              </w:rPr>
            </w:pPr>
            <w:r w:rsidRPr="00F11F17">
              <w:rPr>
                <w:b/>
                <w:bCs/>
                <w:color w:val="000000"/>
                <w:sz w:val="20"/>
                <w:szCs w:val="20"/>
              </w:rPr>
              <w:t>Total</w:t>
            </w:r>
          </w:p>
        </w:tc>
        <w:tc>
          <w:tcPr>
            <w:tcW w:w="1552" w:type="dxa"/>
            <w:tcBorders>
              <w:top w:val="single" w:sz="18" w:space="0" w:color="auto"/>
              <w:left w:val="single" w:sz="8" w:space="0" w:color="auto"/>
              <w:right w:val="single" w:sz="8" w:space="0" w:color="auto"/>
            </w:tcBorders>
            <w:shd w:val="clear" w:color="auto" w:fill="auto"/>
            <w:vAlign w:val="bottom"/>
            <w:hideMark/>
          </w:tcPr>
          <w:p w:rsidR="00B30FE0" w:rsidRPr="00F11F17" w:rsidRDefault="00B30FE0" w:rsidP="000E538C">
            <w:pPr>
              <w:spacing w:line="240" w:lineRule="auto"/>
              <w:jc w:val="left"/>
              <w:rPr>
                <w:b/>
                <w:bCs/>
                <w:color w:val="000000"/>
                <w:sz w:val="20"/>
                <w:szCs w:val="20"/>
              </w:rPr>
            </w:pPr>
            <w:r w:rsidRPr="00F11F17">
              <w:rPr>
                <w:b/>
                <w:bCs/>
                <w:color w:val="000000"/>
                <w:sz w:val="20"/>
                <w:szCs w:val="20"/>
              </w:rPr>
              <w:t xml:space="preserve"> $2,410,656,406 </w:t>
            </w:r>
          </w:p>
        </w:tc>
        <w:tc>
          <w:tcPr>
            <w:tcW w:w="1530" w:type="dxa"/>
            <w:tcBorders>
              <w:top w:val="single" w:sz="18" w:space="0" w:color="auto"/>
              <w:left w:val="single" w:sz="8" w:space="0" w:color="auto"/>
              <w:bottom w:val="single" w:sz="1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$301,332,051</w:t>
            </w:r>
          </w:p>
        </w:tc>
        <w:tc>
          <w:tcPr>
            <w:tcW w:w="1620" w:type="dxa"/>
            <w:tcBorders>
              <w:top w:val="single" w:sz="1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$1,250,000,000</w:t>
            </w:r>
          </w:p>
        </w:tc>
        <w:tc>
          <w:tcPr>
            <w:tcW w:w="1710" w:type="dxa"/>
            <w:tcBorders>
              <w:top w:val="single" w:sz="18" w:space="0" w:color="auto"/>
              <w:right w:val="single" w:sz="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$1,551,332,051</w:t>
            </w:r>
          </w:p>
        </w:tc>
        <w:tc>
          <w:tcPr>
            <w:tcW w:w="1800" w:type="dxa"/>
            <w:tcBorders>
              <w:top w:val="single" w:sz="18" w:space="0" w:color="auto"/>
              <w:left w:val="single" w:sz="8" w:space="0" w:color="auto"/>
              <w:bottom w:val="single" w:sz="18" w:space="0" w:color="auto"/>
            </w:tcBorders>
            <w:shd w:val="clear" w:color="auto" w:fill="auto"/>
            <w:noWrap/>
            <w:vAlign w:val="bottom"/>
            <w:hideMark/>
          </w:tcPr>
          <w:p w:rsidR="00B30FE0" w:rsidRPr="00F11F17" w:rsidRDefault="00B30FE0" w:rsidP="000E538C">
            <w:pPr>
              <w:spacing w:line="240" w:lineRule="auto"/>
              <w:jc w:val="right"/>
              <w:rPr>
                <w:b/>
                <w:bCs/>
                <w:color w:val="000000"/>
                <w:sz w:val="20"/>
                <w:szCs w:val="20"/>
              </w:rPr>
            </w:pPr>
            <w:r w:rsidRPr="00F11F17">
              <w:rPr>
                <w:b/>
                <w:bCs/>
                <w:color w:val="000000"/>
                <w:sz w:val="20"/>
                <w:szCs w:val="20"/>
              </w:rPr>
              <w:t>-$859,324,356</w:t>
            </w:r>
          </w:p>
        </w:tc>
      </w:tr>
    </w:tbl>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pPr>
        <w:tabs>
          <w:tab w:val="left" w:pos="360"/>
          <w:tab w:val="left" w:pos="720"/>
          <w:tab w:val="left" w:pos="1440"/>
          <w:tab w:val="left" w:pos="2160"/>
          <w:tab w:val="left" w:pos="2880"/>
          <w:tab w:val="left" w:pos="3600"/>
          <w:tab w:val="left" w:pos="4320"/>
          <w:tab w:val="left" w:pos="5040"/>
        </w:tabs>
      </w:pPr>
      <w:r>
        <w:tab/>
        <w:t>Additionally, the OLS notes that the bill provides that if the mutual holding company continues to participate in the New Jersey Individual Health Coverage Program and the New Jersey Small Employer Health Benefits Program, it will continue to be exempt from all State, county, district, municipal, and school taxes other than taxes on real estate and equipment and taxes on premiums.  In the event that the company stops participating in either program, there will be an indeterminate increase in annual State and local units’ tax collections.  Horizon Blue Cross Blue Shield of New Jersey reported in its 2016 “Understanding Reserves” publication that the company saved $9.1 million in sales and use taxes and the Newark payroll taxes in 2016 because of the exemption.</w:t>
      </w:r>
    </w:p>
    <w:p w:rsidR="00B30FE0" w:rsidRDefault="00B30FE0" w:rsidP="00B30FE0">
      <w:pPr>
        <w:tabs>
          <w:tab w:val="left" w:pos="360"/>
          <w:tab w:val="left" w:pos="720"/>
          <w:tab w:val="left" w:pos="1440"/>
          <w:tab w:val="left" w:pos="2160"/>
          <w:tab w:val="left" w:pos="2880"/>
          <w:tab w:val="left" w:pos="3600"/>
          <w:tab w:val="left" w:pos="4320"/>
          <w:tab w:val="left" w:pos="5040"/>
        </w:tabs>
      </w:pPr>
    </w:p>
    <w:p w:rsidR="00B30FE0" w:rsidRDefault="00B30FE0" w:rsidP="00B30FE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30FE0" w:rsidTr="000E538C">
        <w:trPr>
          <w:trHeight w:val="403"/>
        </w:trPr>
        <w:tc>
          <w:tcPr>
            <w:tcW w:w="1260" w:type="dxa"/>
            <w:tcBorders>
              <w:top w:val="nil"/>
              <w:left w:val="nil"/>
              <w:bottom w:val="nil"/>
              <w:right w:val="nil"/>
            </w:tcBorders>
          </w:tcPr>
          <w:p w:rsidR="00B30FE0" w:rsidRDefault="00B30FE0" w:rsidP="000E538C">
            <w:pPr>
              <w:pStyle w:val="10pointItalics"/>
              <w:rPr>
                <w:sz w:val="24"/>
              </w:rPr>
            </w:pPr>
            <w:r>
              <w:t>Section:</w:t>
            </w:r>
          </w:p>
        </w:tc>
        <w:tc>
          <w:tcPr>
            <w:tcW w:w="8100" w:type="dxa"/>
            <w:tcBorders>
              <w:top w:val="nil"/>
              <w:left w:val="nil"/>
              <w:bottom w:val="nil"/>
              <w:right w:val="nil"/>
            </w:tcBorders>
          </w:tcPr>
          <w:p w:rsidR="00B30FE0" w:rsidRDefault="00B30FE0" w:rsidP="000E538C">
            <w:pPr>
              <w:pStyle w:val="10pointItalics"/>
              <w:rPr>
                <w:sz w:val="24"/>
              </w:rPr>
            </w:pPr>
            <w:bookmarkStart w:id="2" w:name="Section"/>
            <w:r>
              <w:t>Commerce, Labor and Industry</w:t>
            </w:r>
            <w:bookmarkEnd w:id="2"/>
          </w:p>
        </w:tc>
      </w:tr>
      <w:tr w:rsidR="00B30FE0" w:rsidTr="000E538C">
        <w:trPr>
          <w:trHeight w:val="403"/>
        </w:trPr>
        <w:tc>
          <w:tcPr>
            <w:tcW w:w="1260" w:type="dxa"/>
            <w:tcBorders>
              <w:top w:val="nil"/>
              <w:left w:val="nil"/>
              <w:bottom w:val="nil"/>
              <w:right w:val="nil"/>
            </w:tcBorders>
          </w:tcPr>
          <w:p w:rsidR="00B30FE0" w:rsidRDefault="00B30FE0" w:rsidP="000E538C">
            <w:pPr>
              <w:pStyle w:val="10pointItalics"/>
              <w:rPr>
                <w:sz w:val="24"/>
              </w:rPr>
            </w:pPr>
            <w:r>
              <w:t>Analyst:</w:t>
            </w:r>
          </w:p>
        </w:tc>
        <w:tc>
          <w:tcPr>
            <w:tcW w:w="8100" w:type="dxa"/>
            <w:tcBorders>
              <w:top w:val="nil"/>
              <w:left w:val="nil"/>
              <w:bottom w:val="nil"/>
              <w:right w:val="nil"/>
            </w:tcBorders>
          </w:tcPr>
          <w:p w:rsidR="00B30FE0" w:rsidRDefault="00B30FE0" w:rsidP="000E538C">
            <w:pPr>
              <w:pStyle w:val="10pointItalics"/>
            </w:pPr>
            <w:bookmarkStart w:id="3" w:name="UserFullName"/>
            <w:bookmarkEnd w:id="3"/>
            <w:r>
              <w:t>Juan C. Rodriguez</w:t>
            </w:r>
          </w:p>
          <w:p w:rsidR="00B30FE0" w:rsidRDefault="00B30FE0" w:rsidP="000E538C">
            <w:pPr>
              <w:pStyle w:val="10pointItalics"/>
              <w:rPr>
                <w:sz w:val="24"/>
              </w:rPr>
            </w:pPr>
            <w:r>
              <w:t>Senior Fiscal Analyst</w:t>
            </w:r>
          </w:p>
        </w:tc>
      </w:tr>
      <w:tr w:rsidR="00B30FE0" w:rsidTr="000E538C">
        <w:trPr>
          <w:trHeight w:val="403"/>
        </w:trPr>
        <w:tc>
          <w:tcPr>
            <w:tcW w:w="1260" w:type="dxa"/>
            <w:tcBorders>
              <w:top w:val="nil"/>
              <w:left w:val="nil"/>
              <w:bottom w:val="nil"/>
              <w:right w:val="nil"/>
            </w:tcBorders>
            <w:tcMar>
              <w:top w:w="72" w:type="dxa"/>
            </w:tcMar>
          </w:tcPr>
          <w:p w:rsidR="00B30FE0" w:rsidRDefault="00B30FE0" w:rsidP="000E538C">
            <w:pPr>
              <w:pStyle w:val="10pointItalics"/>
              <w:rPr>
                <w:sz w:val="24"/>
              </w:rPr>
            </w:pPr>
            <w:r>
              <w:t>Approved:</w:t>
            </w:r>
          </w:p>
        </w:tc>
        <w:tc>
          <w:tcPr>
            <w:tcW w:w="8100" w:type="dxa"/>
            <w:tcBorders>
              <w:top w:val="nil"/>
              <w:left w:val="nil"/>
              <w:bottom w:val="nil"/>
              <w:right w:val="nil"/>
            </w:tcBorders>
            <w:tcMar>
              <w:top w:w="72" w:type="dxa"/>
            </w:tcMar>
          </w:tcPr>
          <w:p w:rsidR="00B30FE0" w:rsidRDefault="00B30FE0" w:rsidP="000E538C">
            <w:pPr>
              <w:pStyle w:val="10pointItalics"/>
            </w:pPr>
            <w:r>
              <w:t>Thomas Koenig</w:t>
            </w:r>
          </w:p>
          <w:p w:rsidR="00B30FE0" w:rsidRDefault="00B30FE0" w:rsidP="000E538C">
            <w:pPr>
              <w:pStyle w:val="10pointItalics"/>
              <w:rPr>
                <w:sz w:val="24"/>
              </w:rPr>
            </w:pPr>
            <w:r>
              <w:t>Assistant Legislative Budget and Finance Officer</w:t>
            </w:r>
          </w:p>
        </w:tc>
      </w:tr>
    </w:tbl>
    <w:p w:rsidR="00B30FE0" w:rsidRDefault="00B30FE0" w:rsidP="00EF17BC">
      <w:pPr>
        <w:tabs>
          <w:tab w:val="left" w:pos="360"/>
          <w:tab w:val="left" w:pos="720"/>
          <w:tab w:val="left" w:pos="1440"/>
          <w:tab w:val="left" w:pos="2160"/>
          <w:tab w:val="left" w:pos="2880"/>
          <w:tab w:val="left" w:pos="3600"/>
          <w:tab w:val="left" w:pos="4320"/>
          <w:tab w:val="left" w:pos="5040"/>
        </w:tabs>
      </w:pPr>
    </w:p>
    <w:p w:rsidR="00C54157" w:rsidRDefault="00C54157" w:rsidP="00EF17BC">
      <w:pPr>
        <w:tabs>
          <w:tab w:val="left" w:pos="360"/>
          <w:tab w:val="left" w:pos="720"/>
          <w:tab w:val="left" w:pos="1440"/>
          <w:tab w:val="left" w:pos="2160"/>
          <w:tab w:val="left" w:pos="2880"/>
          <w:tab w:val="left" w:pos="3600"/>
          <w:tab w:val="left" w:pos="4320"/>
          <w:tab w:val="left" w:pos="5040"/>
        </w:tabs>
      </w:pPr>
    </w:p>
    <w:p w:rsidR="00EF17BC" w:rsidRDefault="003D51B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51B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E97" w:rsidRDefault="00BC7E97">
      <w:r>
        <w:separator/>
      </w:r>
    </w:p>
  </w:endnote>
  <w:endnote w:type="continuationSeparator" w:id="0">
    <w:p w:rsidR="00BC7E97" w:rsidRDefault="00BC7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823A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2291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E97" w:rsidRDefault="00BC7E97">
      <w:r>
        <w:separator/>
      </w:r>
    </w:p>
  </w:footnote>
  <w:footnote w:type="continuationSeparator" w:id="0">
    <w:p w:rsidR="00BC7E97" w:rsidRDefault="00BC7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BF" w:rsidRDefault="003D51BF" w:rsidP="003D51BF">
    <w:pPr>
      <w:pStyle w:val="Header"/>
      <w:jc w:val="center"/>
    </w:pPr>
    <w:r>
      <w:t>F</w:t>
    </w:r>
    <w:r w:rsidR="00BC7F0A">
      <w:t>E to A</w:t>
    </w:r>
    <w:r>
      <w:t>5119 [1R]</w:t>
    </w:r>
  </w:p>
  <w:p w:rsidR="003D51BF" w:rsidRDefault="003D51BF" w:rsidP="003D51BF">
    <w:pPr>
      <w:pStyle w:val="Header"/>
      <w:jc w:val="center"/>
    </w:pPr>
    <w:r>
      <w:fldChar w:fldCharType="begin"/>
    </w:r>
    <w:r>
      <w:instrText xml:space="preserve"> PAGE  \* MERGEFORMAT </w:instrText>
    </w:r>
    <w:r>
      <w:fldChar w:fldCharType="separate"/>
    </w:r>
    <w:r w:rsidR="001823AD">
      <w:rPr>
        <w:noProof/>
      </w:rPr>
      <w:t>4</w:t>
    </w:r>
    <w:r>
      <w:fldChar w:fldCharType="end"/>
    </w:r>
  </w:p>
  <w:p w:rsidR="003D51BF" w:rsidRDefault="003D51BF" w:rsidP="003D51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F43A8C"/>
    <w:multiLevelType w:val="hybridMultilevel"/>
    <w:tmpl w:val="A43C3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B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A09"/>
    <w:rsid w:val="000F0A12"/>
    <w:rsid w:val="000F231D"/>
    <w:rsid w:val="000F278B"/>
    <w:rsid w:val="000F2B57"/>
    <w:rsid w:val="001106B5"/>
    <w:rsid w:val="00114591"/>
    <w:rsid w:val="00115411"/>
    <w:rsid w:val="001223E7"/>
    <w:rsid w:val="00125D26"/>
    <w:rsid w:val="00142AE8"/>
    <w:rsid w:val="00145CE4"/>
    <w:rsid w:val="001554BC"/>
    <w:rsid w:val="00157AED"/>
    <w:rsid w:val="00172CF5"/>
    <w:rsid w:val="001823AD"/>
    <w:rsid w:val="001907A1"/>
    <w:rsid w:val="00193C26"/>
    <w:rsid w:val="00194789"/>
    <w:rsid w:val="00197240"/>
    <w:rsid w:val="001B1D4B"/>
    <w:rsid w:val="001B2BA9"/>
    <w:rsid w:val="001C3CD6"/>
    <w:rsid w:val="001D0C90"/>
    <w:rsid w:val="001D3FD4"/>
    <w:rsid w:val="001F4F8B"/>
    <w:rsid w:val="00201322"/>
    <w:rsid w:val="00203C53"/>
    <w:rsid w:val="00210E60"/>
    <w:rsid w:val="002116FF"/>
    <w:rsid w:val="00212908"/>
    <w:rsid w:val="00213CFF"/>
    <w:rsid w:val="00220166"/>
    <w:rsid w:val="0023102E"/>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7C"/>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1BF"/>
    <w:rsid w:val="00407C9E"/>
    <w:rsid w:val="0041022E"/>
    <w:rsid w:val="004149CC"/>
    <w:rsid w:val="00485323"/>
    <w:rsid w:val="00487ED8"/>
    <w:rsid w:val="004911CB"/>
    <w:rsid w:val="00491918"/>
    <w:rsid w:val="004A10CD"/>
    <w:rsid w:val="004A2E7F"/>
    <w:rsid w:val="004A5A65"/>
    <w:rsid w:val="004B1485"/>
    <w:rsid w:val="004C6ECA"/>
    <w:rsid w:val="004C750D"/>
    <w:rsid w:val="004D6C2C"/>
    <w:rsid w:val="004D7D86"/>
    <w:rsid w:val="004E1959"/>
    <w:rsid w:val="004E6202"/>
    <w:rsid w:val="004F1874"/>
    <w:rsid w:val="004F2034"/>
    <w:rsid w:val="004F585C"/>
    <w:rsid w:val="004F63C6"/>
    <w:rsid w:val="004F7F49"/>
    <w:rsid w:val="00510A23"/>
    <w:rsid w:val="0051514A"/>
    <w:rsid w:val="00515AC5"/>
    <w:rsid w:val="00520DC2"/>
    <w:rsid w:val="00536F40"/>
    <w:rsid w:val="005470F3"/>
    <w:rsid w:val="00570997"/>
    <w:rsid w:val="00577AA8"/>
    <w:rsid w:val="005850CE"/>
    <w:rsid w:val="0058595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0DF8"/>
    <w:rsid w:val="00737A6C"/>
    <w:rsid w:val="00743F01"/>
    <w:rsid w:val="00744AE4"/>
    <w:rsid w:val="00752837"/>
    <w:rsid w:val="00763D60"/>
    <w:rsid w:val="00775A47"/>
    <w:rsid w:val="007833B1"/>
    <w:rsid w:val="00786B49"/>
    <w:rsid w:val="007920AC"/>
    <w:rsid w:val="007A0F7E"/>
    <w:rsid w:val="007A42C5"/>
    <w:rsid w:val="007A65A1"/>
    <w:rsid w:val="007B1FCF"/>
    <w:rsid w:val="007C4620"/>
    <w:rsid w:val="007E337B"/>
    <w:rsid w:val="007E5EB3"/>
    <w:rsid w:val="00804E41"/>
    <w:rsid w:val="00811BC0"/>
    <w:rsid w:val="008231E8"/>
    <w:rsid w:val="008266B7"/>
    <w:rsid w:val="00854958"/>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0FE0"/>
    <w:rsid w:val="00B4569E"/>
    <w:rsid w:val="00B45879"/>
    <w:rsid w:val="00B551EB"/>
    <w:rsid w:val="00B55F3D"/>
    <w:rsid w:val="00B84AC8"/>
    <w:rsid w:val="00B90F8C"/>
    <w:rsid w:val="00B91C0B"/>
    <w:rsid w:val="00B97E24"/>
    <w:rsid w:val="00BA0BE6"/>
    <w:rsid w:val="00BA2122"/>
    <w:rsid w:val="00BA2F3A"/>
    <w:rsid w:val="00BB3A76"/>
    <w:rsid w:val="00BC7E97"/>
    <w:rsid w:val="00BC7F0A"/>
    <w:rsid w:val="00BF47F9"/>
    <w:rsid w:val="00C07688"/>
    <w:rsid w:val="00C260AB"/>
    <w:rsid w:val="00C32933"/>
    <w:rsid w:val="00C3314D"/>
    <w:rsid w:val="00C54157"/>
    <w:rsid w:val="00C547F7"/>
    <w:rsid w:val="00C75246"/>
    <w:rsid w:val="00C80B0B"/>
    <w:rsid w:val="00C9067C"/>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D836FFD-1C39-4627-B93E-2199123C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30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1672</Words>
  <Characters>9421</Characters>
  <Application>Microsoft Office Word</Application>
  <DocSecurity>0</DocSecurity>
  <Lines>385</Lines>
  <Paragraphs>244</Paragraphs>
  <ScaleCrop>false</ScaleCrop>
  <HeadingPairs>
    <vt:vector size="2" baseType="variant">
      <vt:variant>
        <vt:lpstr>Title</vt:lpstr>
      </vt:variant>
      <vt:variant>
        <vt:i4>1</vt:i4>
      </vt:variant>
    </vt:vector>
  </HeadingPairs>
  <TitlesOfParts>
    <vt:vector size="1" baseType="lpstr">
      <vt:lpstr>A5119 [1R]  FISCAL ESTIMATE</vt:lpstr>
    </vt:vector>
  </TitlesOfParts>
  <Manager>Rodriguez, Juan; R225</Manager>
  <Company>Office of Legislative Services</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A5119 1R FISCAL ESTIMATE</dc:title>
  <dc:creator>Assemblyman MCKEON, Assemblywoman DOWNEY</dc:creator>
  <cp:keywords>A5119|4|CL |289|289|0|!|0|</cp:keywords>
  <dc:description>sponsor 12/18 BPU 12/23</dc:description>
  <cp:lastModifiedBy>Siracusa, Nicole</cp:lastModifiedBy>
  <cp:revision>2</cp:revision>
  <dcterms:created xsi:type="dcterms:W3CDTF">2020-12-23T16:46:00Z</dcterms:created>
  <dcterms:modified xsi:type="dcterms:W3CDTF">2020-12-23T16:46:00Z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