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17E" w:rsidRDefault="004A317E" w:rsidP="004A317E">
      <w:pPr>
        <w:pStyle w:val="bpuReprint"/>
      </w:pPr>
      <w:bookmarkStart w:id="0" w:name="bpuFrontPg"/>
      <w:bookmarkEnd w:id="0"/>
      <w:r>
        <w:t>[First Reprint]</w:t>
      </w:r>
    </w:p>
    <w:p w:rsidR="005B7CBA" w:rsidRDefault="005B7CBA" w:rsidP="005B7CBA">
      <w:pPr>
        <w:pStyle w:val="bpuBill"/>
      </w:pPr>
      <w:r>
        <w:t xml:space="preserve">ASSEMBLY, No. 5148 </w:t>
      </w:r>
    </w:p>
    <w:p w:rsidR="005B7CBA" w:rsidRPr="009D38FF" w:rsidRDefault="005B7CBA" w:rsidP="005B7C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297010" r:id="rId7"/>
        </w:object>
      </w:r>
    </w:p>
    <w:p w:rsidR="005B7CBA" w:rsidRDefault="005B7CBA" w:rsidP="005B7CBA">
      <w:pPr>
        <w:pStyle w:val="bpuState"/>
      </w:pPr>
      <w:r>
        <w:t>STATE OF NEW JERSEY</w:t>
      </w:r>
    </w:p>
    <w:p w:rsidR="005B7CBA" w:rsidRDefault="005B7CBA" w:rsidP="005B7CBA">
      <w:pPr>
        <w:pStyle w:val="bpuLegislature"/>
      </w:pPr>
      <w:r>
        <w:t>219th LEGISLATURE</w:t>
      </w:r>
    </w:p>
    <w:p w:rsidR="005B7CBA" w:rsidRDefault="005B7CBA" w:rsidP="005B7CBA">
      <w:pPr>
        <w:pStyle w:val="bpuWpGraphic"/>
      </w:pPr>
      <w:r>
        <w:object w:dxaOrig="8985" w:dyaOrig="255">
          <v:shape id="_x0000_i1026" type="#_x0000_t75" style="width:6in;height:11.9pt" o:ole="">
            <v:imagedata r:id="rId6" o:title=""/>
          </v:shape>
          <o:OLEObject Type="Embed" ProgID="WPWin6.1" ShapeID="_x0000_i1026" DrawAspect="Content" ObjectID="_1700297011" r:id="rId8"/>
        </w:object>
      </w:r>
      <w:r>
        <w:t xml:space="preserve">  </w:t>
      </w:r>
    </w:p>
    <w:p w:rsidR="005B7CBA" w:rsidRDefault="005B7CBA" w:rsidP="005B7CBA">
      <w:pPr>
        <w:pStyle w:val="bpuIntro"/>
      </w:pPr>
      <w:r>
        <w:t>INTRODUCED DECEMBER 14, 2020</w:t>
      </w:r>
    </w:p>
    <w:p w:rsidR="005B7CBA" w:rsidRDefault="005B7CBA" w:rsidP="005B7CBA">
      <w:pPr>
        <w:pStyle w:val="bpuIntro"/>
      </w:pPr>
    </w:p>
    <w:p w:rsidR="005B7CBA" w:rsidRDefault="005B7CBA" w:rsidP="005B7CBA">
      <w:pPr>
        <w:pStyle w:val="bpuIntro"/>
        <w:sectPr w:rsidR="005B7CBA" w:rsidSect="000900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7CBA" w:rsidRDefault="005B7CBA" w:rsidP="005B7CBA">
      <w:pPr>
        <w:pStyle w:val="bpuIntro"/>
      </w:pPr>
    </w:p>
    <w:p w:rsidR="005B7CBA" w:rsidRDefault="005B7CBA" w:rsidP="005B7CBA">
      <w:pPr>
        <w:pStyle w:val="bpuSponsor"/>
      </w:pPr>
      <w:r>
        <w:t>Sponsored by:</w:t>
      </w:r>
    </w:p>
    <w:p w:rsidR="005B7CBA" w:rsidRDefault="005B7CBA" w:rsidP="005B7CBA">
      <w:pPr>
        <w:pStyle w:val="bpuSponsor"/>
      </w:pPr>
      <w:r>
        <w:t>Assemblywoman  ANNETTE QUIJANO</w:t>
      </w:r>
    </w:p>
    <w:p w:rsidR="005B7CBA" w:rsidRDefault="005B7CBA" w:rsidP="005B7CBA">
      <w:pPr>
        <w:pStyle w:val="bpuSponsor"/>
      </w:pPr>
      <w:r>
        <w:t>District 20 (Union)</w:t>
      </w:r>
    </w:p>
    <w:p w:rsidR="005B7CBA" w:rsidRDefault="000900F2" w:rsidP="000900F2">
      <w:pPr>
        <w:pStyle w:val="bpuSponsor"/>
      </w:pPr>
      <w:r>
        <w:t>Assemblyman  RAJ MUKHERJI</w:t>
      </w:r>
    </w:p>
    <w:p w:rsidR="000900F2" w:rsidRDefault="000900F2" w:rsidP="000900F2">
      <w:pPr>
        <w:pStyle w:val="bpuSponsor"/>
      </w:pPr>
      <w:r>
        <w:t>District 33 (Hudson)</w:t>
      </w:r>
    </w:p>
    <w:p w:rsidR="000900F2" w:rsidRPr="000900F2" w:rsidRDefault="000900F2" w:rsidP="000900F2">
      <w:pPr>
        <w:pStyle w:val="bpuSponsor"/>
      </w:pPr>
    </w:p>
    <w:p w:rsidR="005B7CBA" w:rsidRDefault="005B7CBA" w:rsidP="005B7CBA">
      <w:pPr>
        <w:pStyle w:val="bpuSponsor"/>
      </w:pPr>
    </w:p>
    <w:p w:rsidR="005B7CBA" w:rsidRDefault="005B7CBA" w:rsidP="005B7CBA">
      <w:pPr>
        <w:pStyle w:val="bpuSponsor"/>
      </w:pPr>
    </w:p>
    <w:p w:rsidR="005B7CBA" w:rsidRDefault="005B7CBA" w:rsidP="005B7CBA">
      <w:pPr>
        <w:pStyle w:val="bpuSponsor"/>
      </w:pPr>
    </w:p>
    <w:p w:rsidR="005B7CBA" w:rsidRDefault="005B7CBA" w:rsidP="005B7CBA">
      <w:pPr>
        <w:pStyle w:val="bpuSponsor"/>
      </w:pPr>
      <w:r>
        <w:t>SYNOPSIS</w:t>
      </w:r>
    </w:p>
    <w:p w:rsidR="005B7CBA" w:rsidRDefault="00620DED" w:rsidP="005B7CBA">
      <w:pPr>
        <w:pStyle w:val="bpuNormText"/>
      </w:pPr>
      <w:r>
        <w:tab/>
      </w:r>
      <w:r w:rsidR="005B7CBA">
        <w:t>Authorizes local governments to impose convenience fees for accepting electronic payments.</w:t>
      </w:r>
    </w:p>
    <w:p w:rsidR="005B7CBA" w:rsidRDefault="005B7CBA" w:rsidP="005B7CBA">
      <w:pPr>
        <w:pStyle w:val="bpuNormText"/>
      </w:pPr>
    </w:p>
    <w:p w:rsidR="005B7CBA" w:rsidRDefault="005B7CBA" w:rsidP="005B7CBA">
      <w:pPr>
        <w:pStyle w:val="bpuSponsor"/>
      </w:pPr>
      <w:r>
        <w:t xml:space="preserve">CURRENT VERSION OF TEXT </w:t>
      </w:r>
    </w:p>
    <w:p w:rsidR="005B7CBA" w:rsidRDefault="004A317E" w:rsidP="005B7CBA">
      <w:pPr>
        <w:pStyle w:val="bpuNormText"/>
      </w:pPr>
      <w:r>
        <w:tab/>
        <w:t>As reported by the Assembly State and Local Government Committee on November 15, 2021, with amendments.</w:t>
      </w:r>
    </w:p>
    <w:p w:rsidR="005B7CBA" w:rsidRDefault="005B7CBA" w:rsidP="005B7C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7CBA" w:rsidRDefault="005B7CBA" w:rsidP="008916EC">
      <w:pPr>
        <w:pStyle w:val="FronterPage"/>
        <w:tabs>
          <w:tab w:val="clear" w:pos="720"/>
          <w:tab w:val="clear" w:pos="1440"/>
          <w:tab w:val="clear" w:pos="2160"/>
          <w:tab w:val="clear" w:pos="2880"/>
          <w:tab w:val="clear" w:pos="3600"/>
          <w:tab w:val="clear" w:pos="4320"/>
          <w:tab w:val="clear" w:pos="5040"/>
        </w:tabs>
        <w:sectPr w:rsidR="005B7CBA" w:rsidSect="005B7CBA">
          <w:type w:val="continuous"/>
          <w:pgSz w:w="12240" w:h="20160" w:code="5"/>
          <w:pgMar w:top="1440" w:right="2275" w:bottom="1440" w:left="2275" w:header="72" w:footer="720" w:gutter="0"/>
          <w:pgNumType w:start="1"/>
          <w:cols w:space="720"/>
          <w:docGrid w:linePitch="360"/>
        </w:sectPr>
      </w:pPr>
    </w:p>
    <w:p w:rsidR="00686AEB" w:rsidRPr="00677316" w:rsidRDefault="002F70EE" w:rsidP="003E47BA">
      <w:pPr>
        <w:pStyle w:val="HangingAnAct"/>
        <w:rPr>
          <w:rStyle w:val="HangingAnActChar"/>
        </w:rPr>
      </w:pPr>
      <w:r>
        <w:rPr>
          <w:rStyle w:val="BillHead"/>
        </w:rPr>
        <w:lastRenderedPageBreak/>
        <w:t>An Act</w:t>
      </w:r>
      <w:r w:rsidR="00686AEB" w:rsidRPr="006B7FA7">
        <w:rPr>
          <w:rStyle w:val="HangingAnActChar"/>
        </w:rPr>
        <w:t xml:space="preserve"> </w:t>
      </w:r>
      <w:r w:rsidR="006F79C0" w:rsidRPr="006F79C0">
        <w:t>authorizing convenience fees for electronic payments to local governments and amending P.L.1995, c.325</w:t>
      </w:r>
      <w:r w:rsidR="006F79C0">
        <w:t>.</w:t>
      </w:r>
    </w:p>
    <w:p w:rsidR="000B1054" w:rsidRPr="00D71D68" w:rsidRDefault="000B1054" w:rsidP="000B1054"/>
    <w:p w:rsidR="00686AEB" w:rsidRPr="00AA7880" w:rsidRDefault="00686AEB" w:rsidP="00686AEB">
      <w:r>
        <w:tab/>
      </w:r>
      <w:r w:rsidR="002F70EE">
        <w:rPr>
          <w:rStyle w:val="BillHeading2"/>
        </w:rPr>
        <w:t>Be It Enacted</w:t>
      </w:r>
      <w:r>
        <w:rPr>
          <w:rStyle w:val="BillHeading2"/>
        </w:rPr>
        <w:t xml:space="preserve"> </w:t>
      </w:r>
      <w:r w:rsidR="002F70EE">
        <w:rPr>
          <w:rStyle w:val="BillLanguage"/>
        </w:rPr>
        <w:t>by the Senate and General Assembly of the State of New Jersey:</w:t>
      </w:r>
    </w:p>
    <w:p w:rsidR="00686AEB" w:rsidRDefault="00686AEB" w:rsidP="00686AEB"/>
    <w:p w:rsidR="006F79C0" w:rsidRDefault="00CE7B8D" w:rsidP="00686AEB">
      <w:r>
        <w:tab/>
        <w:t>1.</w:t>
      </w:r>
      <w:r>
        <w:tab/>
      </w:r>
      <w:r w:rsidR="006F79C0">
        <w:t xml:space="preserve">Section 2 of </w:t>
      </w:r>
      <w:r w:rsidR="006F79C0" w:rsidRPr="006F79C0">
        <w:t>P.L.1995, c.325</w:t>
      </w:r>
      <w:r w:rsidR="006F79C0">
        <w:t xml:space="preserve"> (</w:t>
      </w:r>
      <w:r w:rsidR="004A24CE">
        <w:t>C.</w:t>
      </w:r>
      <w:r w:rsidR="004A24CE" w:rsidRPr="004A24CE">
        <w:t>40A:5-44</w:t>
      </w:r>
      <w:r w:rsidR="004A24CE">
        <w:t>) is amended to read as follows:</w:t>
      </w:r>
    </w:p>
    <w:p w:rsidR="004A24CE" w:rsidRDefault="004A24CE" w:rsidP="004A24CE">
      <w:r>
        <w:tab/>
        <w:t>2.</w:t>
      </w:r>
      <w:r>
        <w:tab/>
        <w:t>As used in this act:</w:t>
      </w:r>
    </w:p>
    <w:p w:rsidR="004A24CE" w:rsidRDefault="004A24CE" w:rsidP="004A24CE">
      <w:r>
        <w:tab/>
        <w:t>"Association" means an organization whose members are issuers.</w:t>
      </w:r>
    </w:p>
    <w:p w:rsidR="004A24CE" w:rsidRDefault="004A24CE" w:rsidP="004A24CE">
      <w:r>
        <w:tab/>
        <w:t>"Cardholder" means the person or organization named on the face of a credit card or debit card to whom or for whose benefit the credit card or debit card is issued by an issuer.</w:t>
      </w:r>
    </w:p>
    <w:p w:rsidR="004A24CE" w:rsidRDefault="004A24CE" w:rsidP="004A24CE">
      <w:r>
        <w:tab/>
        <w:t>"Card based payment" means a monetary obligation tendered by the user of a credit card or debit card.</w:t>
      </w:r>
    </w:p>
    <w:p w:rsidR="004A24CE" w:rsidRDefault="004A24CE" w:rsidP="004A24CE">
      <w:r>
        <w:tab/>
        <w:t>"Card payment system" means a technical procedure by which obligations owed a local unit or court may be paid by credit card or debit card.</w:t>
      </w:r>
    </w:p>
    <w:p w:rsidR="00B74F04" w:rsidRPr="00B74F04" w:rsidRDefault="00B74F04" w:rsidP="004A24CE">
      <w:pPr>
        <w:rPr>
          <w:u w:val="single"/>
        </w:rPr>
      </w:pPr>
      <w:r>
        <w:tab/>
      </w:r>
      <w:r>
        <w:rPr>
          <w:u w:val="single"/>
        </w:rPr>
        <w:t>“Convenience fee”</w:t>
      </w:r>
      <w:r w:rsidR="001F71A1">
        <w:rPr>
          <w:u w:val="single"/>
        </w:rPr>
        <w:t xml:space="preserve"> means</w:t>
      </w:r>
      <w:r w:rsidR="001F71A1" w:rsidRPr="001F71A1">
        <w:rPr>
          <w:u w:val="single"/>
        </w:rPr>
        <w:t xml:space="preserve"> a fee charged by </w:t>
      </w:r>
      <w:r w:rsidR="001F71A1">
        <w:rPr>
          <w:u w:val="single"/>
        </w:rPr>
        <w:t>a</w:t>
      </w:r>
      <w:r w:rsidR="001F71A1" w:rsidRPr="001F71A1">
        <w:rPr>
          <w:u w:val="single"/>
        </w:rPr>
        <w:t xml:space="preserve"> local unit in excess of the total obligation </w:t>
      </w:r>
      <w:r w:rsidR="001F71A1">
        <w:rPr>
          <w:u w:val="single"/>
        </w:rPr>
        <w:t xml:space="preserve">and any service charge </w:t>
      </w:r>
      <w:r w:rsidR="001F71A1" w:rsidRPr="001F71A1">
        <w:rPr>
          <w:u w:val="single"/>
        </w:rPr>
        <w:t>owed by a person or organization</w:t>
      </w:r>
      <w:r w:rsidR="001F71A1">
        <w:rPr>
          <w:u w:val="single"/>
        </w:rPr>
        <w:t xml:space="preserve"> to offset the costs of administering</w:t>
      </w:r>
      <w:r w:rsidR="001F71A1" w:rsidRPr="001F71A1">
        <w:rPr>
          <w:u w:val="single"/>
        </w:rPr>
        <w:t xml:space="preserve"> a card payment system or an electronic funds transfer syste</w:t>
      </w:r>
      <w:r w:rsidR="001F71A1">
        <w:rPr>
          <w:u w:val="single"/>
        </w:rPr>
        <w:t>m.</w:t>
      </w:r>
    </w:p>
    <w:p w:rsidR="004A24CE" w:rsidRDefault="004A24CE" w:rsidP="004A24CE">
      <w:r>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4A24CE" w:rsidRDefault="004A24CE" w:rsidP="004A24CE">
      <w:r>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4A24CE" w:rsidRDefault="004A24CE" w:rsidP="004A24CE">
      <w:r>
        <w:tab/>
        <w:t>"Director" means the Director of the Division of Local Government Services in the Department of Community Affairs.</w:t>
      </w:r>
    </w:p>
    <w:p w:rsidR="004A24CE" w:rsidRDefault="004A24CE" w:rsidP="004A24CE">
      <w:r>
        <w:tab/>
        <w:t>"Electronic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credit an account, and includes an in-person funds transfer and an online funds transfer.</w:t>
      </w:r>
    </w:p>
    <w:p w:rsidR="004A24CE" w:rsidRDefault="004A24CE" w:rsidP="004A24CE">
      <w:r>
        <w:tab/>
        <w:t xml:space="preserve">"Electronic funds transfer system" means a technical procedure by which obligations owed to or </w:t>
      </w:r>
      <w:r w:rsidR="004A317E">
        <w:t xml:space="preserve">collected by the Supreme Court, </w:t>
      </w:r>
      <w:r>
        <w:t xml:space="preserve">the Superior Court, Tax Court or a local unit may be paid by an electronic transaction between the financial institution of the person </w:t>
      </w:r>
      <w:bookmarkStart w:id="1" w:name="_GoBack"/>
      <w:bookmarkEnd w:id="1"/>
      <w:r>
        <w:t>or organization owing the obligation and the financial institution of the governmental entity.</w:t>
      </w:r>
    </w:p>
    <w:p w:rsidR="004A24CE" w:rsidRDefault="004A24CE" w:rsidP="004A24CE">
      <w:r>
        <w:tab/>
        <w:t>"In-person funds transfer" means any transfer of funds through a service that accepts a payment made in-person, by any method, and then transmits those funds to a payee by electronic funds transfer, but shall not include a service that requires a local unit to maintain, and funds to be transmitted to, an account that is not a designated depository of the local unit pursuant to N.J.S.A.40A:5-14.</w:t>
      </w:r>
    </w:p>
    <w:p w:rsidR="004A24CE" w:rsidRDefault="004A24CE" w:rsidP="004A24CE">
      <w:r>
        <w:tab/>
        <w:t>"Issuer" means the business organization or financial institution which issues a credit card or debit card, or its duly authorized agent.</w:t>
      </w:r>
    </w:p>
    <w:p w:rsidR="004A24CE" w:rsidRDefault="004A24CE" w:rsidP="004A24CE">
      <w:r>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4A24CE" w:rsidRDefault="00B74F04" w:rsidP="004A24CE">
      <w:r>
        <w:tab/>
        <w:t>"</w:t>
      </w:r>
      <w:r w:rsidR="004A24CE">
        <w:t>Online funds transfer" means any Internet-based transfer of funds through an Internet-based payment system, but shall not include a service that requires a local unit to maintain, and funds to be transmitted to, an account that is not a designated depository of the local unit pursuant to N.J.S.A.40A:5-14.</w:t>
      </w:r>
    </w:p>
    <w:p w:rsidR="004A24CE" w:rsidRDefault="004A24CE" w:rsidP="004A24CE">
      <w:r>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4A24CE" w:rsidRDefault="004A24CE" w:rsidP="00686AEB">
      <w:r>
        <w:t>(</w:t>
      </w:r>
      <w:proofErr w:type="spellStart"/>
      <w:r>
        <w:t>cf</w:t>
      </w:r>
      <w:proofErr w:type="spellEnd"/>
      <w:r>
        <w:t>: P.L.</w:t>
      </w:r>
      <w:r w:rsidRPr="004A24CE">
        <w:t>2020, c.34, s.9</w:t>
      </w:r>
      <w:r>
        <w:t>)</w:t>
      </w:r>
    </w:p>
    <w:p w:rsidR="00AD14FE" w:rsidRDefault="00AD14FE" w:rsidP="00686AEB"/>
    <w:p w:rsidR="004A317E" w:rsidRPr="00011D4D" w:rsidRDefault="004A317E" w:rsidP="004A317E">
      <w:r>
        <w:tab/>
      </w:r>
      <w:r w:rsidRPr="00011D4D">
        <w:t>2.</w:t>
      </w:r>
      <w:r w:rsidRPr="00011D4D">
        <w:tab/>
        <w:t>Section 4 of P.L.1995, c.325 (C.40A:5-46) is amended to read as follows:</w:t>
      </w:r>
    </w:p>
    <w:p w:rsidR="004A317E" w:rsidRPr="00011D4D" w:rsidRDefault="004A317E" w:rsidP="004A317E">
      <w:r w:rsidRPr="00011D4D">
        <w:tab/>
        <w:t>4.</w:t>
      </w:r>
      <w:r>
        <w:t xml:space="preserve">  </w:t>
      </w:r>
      <w:r w:rsidRPr="00011D4D">
        <w:rPr>
          <w:u w:val="single"/>
        </w:rPr>
        <w:t>a</w:t>
      </w:r>
      <w:r w:rsidRPr="003933CD">
        <w:rPr>
          <w:u w:val="single"/>
        </w:rPr>
        <w:t>.</w:t>
      </w:r>
      <w:r w:rsidRPr="00A6662C">
        <w:t xml:space="preserve">  </w:t>
      </w:r>
      <w:r w:rsidRPr="00011D4D">
        <w:t>Notwithstanding the provisions of any other law to the contrary and if not legally prohibited by an association or by an issuer, local units are authorized to assess and collect service charges related to obligations owed to or collected by the local unit when credit cards, debit cards or electronic funds transfer systems</w:t>
      </w:r>
      <w:r w:rsidRPr="00011D4D">
        <w:rPr>
          <w:u w:val="single"/>
        </w:rPr>
        <w:t>,</w:t>
      </w:r>
      <w:r w:rsidRPr="00011D4D">
        <w:t xml:space="preserve"> are utilized.</w:t>
      </w:r>
    </w:p>
    <w:p w:rsidR="004A317E" w:rsidRDefault="004A317E" w:rsidP="004A317E">
      <w:pPr>
        <w:rPr>
          <w:u w:val="single"/>
        </w:rPr>
      </w:pPr>
      <w:r w:rsidRPr="00011D4D">
        <w:tab/>
      </w:r>
      <w:r w:rsidRPr="00011D4D">
        <w:rPr>
          <w:u w:val="single"/>
        </w:rPr>
        <w:t>b.</w:t>
      </w:r>
      <w:r w:rsidRPr="00011D4D">
        <w:rPr>
          <w:u w:val="single"/>
        </w:rPr>
        <w:tab/>
        <w:t>Notwithstanding the provisions of any other law to the contrary and in addition to a service charge assessed and collected pursuant to subsection a. of this section, a local unit is authorized to assess and collect a convenience fee in an amount not to exceed $3 for each obligation owed to or collected by the local unit when credit cards, debit cards, or electronic funds transfer systems are utilized.</w:t>
      </w:r>
    </w:p>
    <w:p w:rsidR="004A317E" w:rsidRPr="00011D4D" w:rsidRDefault="004A317E" w:rsidP="004A317E">
      <w:pPr>
        <w:rPr>
          <w:u w:val="single"/>
        </w:rPr>
      </w:pPr>
      <w:r w:rsidRPr="00304A8C">
        <w:tab/>
      </w:r>
      <w:r w:rsidRPr="00304A8C">
        <w:rPr>
          <w:rFonts w:ascii="Albertus Extra Bold" w:hAnsi="Albertus Extra Bold"/>
          <w:b/>
          <w:vertAlign w:val="superscript"/>
        </w:rPr>
        <w:t>1</w:t>
      </w:r>
      <w:r>
        <w:rPr>
          <w:u w:val="single"/>
        </w:rPr>
        <w:t>c.  A local unit that collects payment electronically pursuant to the “</w:t>
      </w:r>
      <w:r w:rsidRPr="002D3B1B">
        <w:rPr>
          <w:u w:val="single"/>
        </w:rPr>
        <w:t>Government Electronic Payment Acceptance Act</w:t>
      </w:r>
      <w:r>
        <w:rPr>
          <w:u w:val="single"/>
        </w:rPr>
        <w:t>,” P.L.1995, c.325 (C.40A:5-43 et al.) shall also provide the option to make such payments by traditional or non-electronic means, such as cash, check or money order.</w:t>
      </w:r>
      <w:r w:rsidRPr="00304A8C">
        <w:rPr>
          <w:rFonts w:ascii="Albertus Extra Bold" w:hAnsi="Albertus Extra Bold"/>
          <w:b/>
          <w:vertAlign w:val="superscript"/>
        </w:rPr>
        <w:t>1</w:t>
      </w:r>
      <w:r>
        <w:rPr>
          <w:u w:val="single"/>
        </w:rPr>
        <w:t xml:space="preserve">  </w:t>
      </w:r>
    </w:p>
    <w:p w:rsidR="004A317E" w:rsidRDefault="004A317E" w:rsidP="004A317E">
      <w:r w:rsidRPr="00011D4D">
        <w:t>(</w:t>
      </w:r>
      <w:proofErr w:type="spellStart"/>
      <w:r w:rsidRPr="00011D4D">
        <w:t>cf</w:t>
      </w:r>
      <w:proofErr w:type="spellEnd"/>
      <w:r w:rsidRPr="00011D4D">
        <w:t>: P.L.1995, c.325, s.4)</w:t>
      </w:r>
    </w:p>
    <w:p w:rsidR="004A317E" w:rsidRPr="00011D4D" w:rsidRDefault="004A317E" w:rsidP="004A317E"/>
    <w:p w:rsidR="00686AEB" w:rsidRPr="00AA7880" w:rsidRDefault="00686AEB" w:rsidP="00686AEB">
      <w:r>
        <w:tab/>
      </w:r>
      <w:r w:rsidR="001A3F59">
        <w:t>3</w:t>
      </w:r>
      <w:r w:rsidR="002F70EE">
        <w:t>.</w:t>
      </w:r>
      <w:r w:rsidR="00620DED">
        <w:tab/>
      </w:r>
      <w:r w:rsidR="002F70EE">
        <w:t>This act shall take effect</w:t>
      </w:r>
      <w:r w:rsidR="00313271">
        <w:t xml:space="preserve"> immediately.</w:t>
      </w:r>
    </w:p>
    <w:sectPr w:rsidR="00686AEB" w:rsidRPr="00AA7880" w:rsidSect="00CE7B8D">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CA" w:rsidRDefault="005268CA">
      <w:r>
        <w:separator/>
      </w:r>
    </w:p>
  </w:endnote>
  <w:endnote w:type="continuationSeparator" w:id="0">
    <w:p w:rsidR="005268CA" w:rsidRDefault="00526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F2" w:rsidRDefault="000900F2" w:rsidP="000900F2">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0EE" w:rsidRPr="00921C91" w:rsidRDefault="002F70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70EE" w:rsidRPr="00921C91" w:rsidRDefault="002F70EE">
    <w:pPr>
      <w:pStyle w:val="Footer"/>
      <w:rPr>
        <w:szCs w:val="18"/>
      </w:rPr>
    </w:pPr>
  </w:p>
  <w:p w:rsidR="002F70EE" w:rsidRPr="00921C91" w:rsidRDefault="002F70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317E" w:rsidRDefault="004A317E" w:rsidP="00686AEB">
    <w:pPr>
      <w:pStyle w:val="Footer"/>
    </w:pPr>
    <w:r>
      <w:tab/>
      <w:t>Matter enclosed in superscript numerals has been adopted as follows:</w:t>
    </w:r>
  </w:p>
  <w:p w:rsidR="004A317E" w:rsidRDefault="004A31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November 15, 2021.</w:t>
    </w:r>
  </w:p>
  <w:p w:rsidR="004A317E" w:rsidRPr="004A317E" w:rsidRDefault="004A317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CA" w:rsidRDefault="005268CA">
      <w:r>
        <w:separator/>
      </w:r>
    </w:p>
  </w:footnote>
  <w:footnote w:type="continuationSeparator" w:id="0">
    <w:p w:rsidR="005268CA" w:rsidRDefault="00526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5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7CBA" w:rsidRDefault="005B7CBA" w:rsidP="005B7CBA">
    <w:pPr>
      <w:pStyle w:val="bpuHeadSpon"/>
    </w:pPr>
    <w:r w:rsidRPr="005B7CBA">
      <w:rPr>
        <w:rStyle w:val="bpuHeadSponChar"/>
      </w:rPr>
      <w:t>A5148</w:t>
    </w:r>
    <w:r>
      <w:t xml:space="preserve"> </w:t>
    </w:r>
    <w:r w:rsidR="004A317E">
      <w:t xml:space="preserve">[1R] </w:t>
    </w:r>
    <w:r>
      <w:t>QUIJANO</w:t>
    </w:r>
    <w:r w:rsidR="000900F2">
      <w:t xml:space="preserve">, </w:t>
    </w:r>
    <w:r w:rsidR="000900F2">
      <w:t>MUKHERJI</w:t>
    </w:r>
  </w:p>
  <w:p w:rsidR="005B7CBA" w:rsidRDefault="005B7CBA" w:rsidP="005B7CBA">
    <w:pPr>
      <w:pStyle w:val="bpuHeadSpon"/>
    </w:pPr>
    <w:r>
      <w:fldChar w:fldCharType="begin"/>
    </w:r>
    <w:r>
      <w:instrText xml:space="preserve"> PAGE  \* MERGEFORMAT </w:instrText>
    </w:r>
    <w:r>
      <w:fldChar w:fldCharType="separate"/>
    </w:r>
    <w:r w:rsidR="00F77A7C">
      <w:rPr>
        <w:noProof/>
      </w:rPr>
      <w:t>4</w:t>
    </w:r>
    <w:r>
      <w:fldChar w:fldCharType="end"/>
    </w:r>
  </w:p>
  <w:p w:rsidR="005B7CBA" w:rsidRDefault="005B7CBA" w:rsidP="005B7C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CBA" w:rsidRDefault="005B7CBA" w:rsidP="005B7CBA">
    <w:pPr>
      <w:pStyle w:val="bpuHeadSpon"/>
    </w:pPr>
    <w:r w:rsidRPr="005B7CBA">
      <w:rPr>
        <w:rStyle w:val="bpuHeadSponChar"/>
      </w:rPr>
      <w:t>A5148</w:t>
    </w:r>
    <w:r>
      <w:t xml:space="preserve"> </w:t>
    </w:r>
    <w:r w:rsidR="004A317E">
      <w:t xml:space="preserve">[1R] </w:t>
    </w:r>
    <w:r>
      <w:t>QUIJANO</w:t>
    </w:r>
    <w:r w:rsidR="000900F2">
      <w:t xml:space="preserve">, </w:t>
    </w:r>
    <w:r w:rsidR="000900F2">
      <w:t>MUKHERJI</w:t>
    </w:r>
  </w:p>
  <w:p w:rsidR="005B7CBA" w:rsidRDefault="005B7CBA" w:rsidP="005B7CBA">
    <w:pPr>
      <w:pStyle w:val="bpuHeadSpon"/>
    </w:pPr>
    <w:r>
      <w:fldChar w:fldCharType="begin"/>
    </w:r>
    <w:r>
      <w:instrText xml:space="preserve"> PAGE  \* MERGEFORMAT </w:instrText>
    </w:r>
    <w:r>
      <w:fldChar w:fldCharType="separate"/>
    </w:r>
    <w:r w:rsidR="00F77A7C">
      <w:rPr>
        <w:noProof/>
      </w:rPr>
      <w:t>2</w:t>
    </w:r>
    <w:r>
      <w:fldChar w:fldCharType="end"/>
    </w:r>
  </w:p>
  <w:p w:rsidR="005B7CBA" w:rsidRDefault="005B7CBA" w:rsidP="005B7C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CA"/>
    <w:rsid w:val="0000508A"/>
    <w:rsid w:val="000051BD"/>
    <w:rsid w:val="000160A5"/>
    <w:rsid w:val="0002335B"/>
    <w:rsid w:val="0003549A"/>
    <w:rsid w:val="000367AE"/>
    <w:rsid w:val="00043B22"/>
    <w:rsid w:val="00054975"/>
    <w:rsid w:val="00057D20"/>
    <w:rsid w:val="0006197C"/>
    <w:rsid w:val="0006281F"/>
    <w:rsid w:val="0008141C"/>
    <w:rsid w:val="000900F2"/>
    <w:rsid w:val="00094A55"/>
    <w:rsid w:val="000A2D0E"/>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3F59"/>
    <w:rsid w:val="001A66B6"/>
    <w:rsid w:val="001B4716"/>
    <w:rsid w:val="001B4EA4"/>
    <w:rsid w:val="001C7C52"/>
    <w:rsid w:val="001D25F3"/>
    <w:rsid w:val="001E15F1"/>
    <w:rsid w:val="001E16FA"/>
    <w:rsid w:val="001E1F5E"/>
    <w:rsid w:val="001E6213"/>
    <w:rsid w:val="001F14C7"/>
    <w:rsid w:val="001F2ACA"/>
    <w:rsid w:val="001F71A1"/>
    <w:rsid w:val="001F7405"/>
    <w:rsid w:val="00205533"/>
    <w:rsid w:val="00211DA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0EE"/>
    <w:rsid w:val="00313271"/>
    <w:rsid w:val="00315320"/>
    <w:rsid w:val="00320FE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E09"/>
    <w:rsid w:val="003F3B37"/>
    <w:rsid w:val="0040195A"/>
    <w:rsid w:val="00401AAF"/>
    <w:rsid w:val="00402DC0"/>
    <w:rsid w:val="004116C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4CE"/>
    <w:rsid w:val="004A3009"/>
    <w:rsid w:val="004A317E"/>
    <w:rsid w:val="004A6940"/>
    <w:rsid w:val="004A77A4"/>
    <w:rsid w:val="004C742C"/>
    <w:rsid w:val="004E1F3E"/>
    <w:rsid w:val="004F21BD"/>
    <w:rsid w:val="004F4F1D"/>
    <w:rsid w:val="004F74DD"/>
    <w:rsid w:val="00501317"/>
    <w:rsid w:val="0050495C"/>
    <w:rsid w:val="00505DC9"/>
    <w:rsid w:val="00506E1E"/>
    <w:rsid w:val="00513C81"/>
    <w:rsid w:val="005268CA"/>
    <w:rsid w:val="00527BFB"/>
    <w:rsid w:val="00532A32"/>
    <w:rsid w:val="00540B0B"/>
    <w:rsid w:val="0054460F"/>
    <w:rsid w:val="005536CD"/>
    <w:rsid w:val="00554051"/>
    <w:rsid w:val="00557240"/>
    <w:rsid w:val="005629A4"/>
    <w:rsid w:val="005651F3"/>
    <w:rsid w:val="00572184"/>
    <w:rsid w:val="00577A15"/>
    <w:rsid w:val="00580533"/>
    <w:rsid w:val="0059131D"/>
    <w:rsid w:val="00597D79"/>
    <w:rsid w:val="005B3F92"/>
    <w:rsid w:val="005B479C"/>
    <w:rsid w:val="005B561E"/>
    <w:rsid w:val="005B7CBA"/>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DED"/>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534"/>
    <w:rsid w:val="006F180D"/>
    <w:rsid w:val="006F4334"/>
    <w:rsid w:val="006F47AF"/>
    <w:rsid w:val="006F6B8A"/>
    <w:rsid w:val="006F79C0"/>
    <w:rsid w:val="00707CD3"/>
    <w:rsid w:val="00716BB9"/>
    <w:rsid w:val="007256D1"/>
    <w:rsid w:val="007279FD"/>
    <w:rsid w:val="007403F2"/>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CA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7DC"/>
    <w:rsid w:val="008C79B3"/>
    <w:rsid w:val="008D77BD"/>
    <w:rsid w:val="008E454C"/>
    <w:rsid w:val="008F1E5A"/>
    <w:rsid w:val="00901BDA"/>
    <w:rsid w:val="009121D8"/>
    <w:rsid w:val="00912D9C"/>
    <w:rsid w:val="00916F7A"/>
    <w:rsid w:val="00917FE3"/>
    <w:rsid w:val="00930887"/>
    <w:rsid w:val="009318C7"/>
    <w:rsid w:val="00931C09"/>
    <w:rsid w:val="009348C2"/>
    <w:rsid w:val="009440D0"/>
    <w:rsid w:val="0094510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16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4FE"/>
    <w:rsid w:val="00AD70D6"/>
    <w:rsid w:val="00AD75BC"/>
    <w:rsid w:val="00AD7BB0"/>
    <w:rsid w:val="00AD7BC9"/>
    <w:rsid w:val="00AE1871"/>
    <w:rsid w:val="00AE7412"/>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F04"/>
    <w:rsid w:val="00B90E33"/>
    <w:rsid w:val="00B9676B"/>
    <w:rsid w:val="00BA2EA5"/>
    <w:rsid w:val="00BA364B"/>
    <w:rsid w:val="00BA6C5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B8D"/>
    <w:rsid w:val="00CF65EB"/>
    <w:rsid w:val="00CF72AD"/>
    <w:rsid w:val="00D02441"/>
    <w:rsid w:val="00D039F4"/>
    <w:rsid w:val="00D10496"/>
    <w:rsid w:val="00D11173"/>
    <w:rsid w:val="00D1215F"/>
    <w:rsid w:val="00D16561"/>
    <w:rsid w:val="00D17FF8"/>
    <w:rsid w:val="00D268AC"/>
    <w:rsid w:val="00D27FF3"/>
    <w:rsid w:val="00D343D0"/>
    <w:rsid w:val="00D3664D"/>
    <w:rsid w:val="00D37BE4"/>
    <w:rsid w:val="00D500E9"/>
    <w:rsid w:val="00D507BC"/>
    <w:rsid w:val="00D6090A"/>
    <w:rsid w:val="00D62FA3"/>
    <w:rsid w:val="00D63B6F"/>
    <w:rsid w:val="00D64A90"/>
    <w:rsid w:val="00D8324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194"/>
    <w:rsid w:val="00E373C7"/>
    <w:rsid w:val="00E4267B"/>
    <w:rsid w:val="00E42F13"/>
    <w:rsid w:val="00E452DF"/>
    <w:rsid w:val="00E543CF"/>
    <w:rsid w:val="00E546FD"/>
    <w:rsid w:val="00E608F1"/>
    <w:rsid w:val="00E611B9"/>
    <w:rsid w:val="00E7144F"/>
    <w:rsid w:val="00E73D74"/>
    <w:rsid w:val="00E76A79"/>
    <w:rsid w:val="00E80692"/>
    <w:rsid w:val="00E80C24"/>
    <w:rsid w:val="00E90822"/>
    <w:rsid w:val="00E93836"/>
    <w:rsid w:val="00EA3225"/>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DFB"/>
    <w:rsid w:val="00F54B9C"/>
    <w:rsid w:val="00F56E96"/>
    <w:rsid w:val="00F573DD"/>
    <w:rsid w:val="00F610B0"/>
    <w:rsid w:val="00F61E59"/>
    <w:rsid w:val="00F63D99"/>
    <w:rsid w:val="00F6426B"/>
    <w:rsid w:val="00F709B3"/>
    <w:rsid w:val="00F71A5E"/>
    <w:rsid w:val="00F77A7C"/>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49135F"/>
  <w15:docId w15:val="{DA3D6829-A9DD-4E01-AB7A-7D114D8EE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B7CBA"/>
  </w:style>
  <w:style w:type="paragraph" w:styleId="BalloonText">
    <w:name w:val="Balloon Text"/>
    <w:basedOn w:val="Normal"/>
    <w:link w:val="BalloonTextChar"/>
    <w:semiHidden/>
    <w:unhideWhenUsed/>
    <w:rsid w:val="00D832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32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918</Words>
  <Characters>4773</Characters>
  <Application>Microsoft Office Word</Application>
  <DocSecurity>0</DocSecurity>
  <Lines>125</Lines>
  <Paragraphs>40</Paragraphs>
  <ScaleCrop>false</ScaleCrop>
  <HeadingPairs>
    <vt:vector size="2" baseType="variant">
      <vt:variant>
        <vt:lpstr>Title</vt:lpstr>
      </vt:variant>
      <vt:variant>
        <vt:i4>1</vt:i4>
      </vt:variant>
    </vt:vector>
  </HeadingPairs>
  <TitlesOfParts>
    <vt:vector size="1" baseType="lpstr">
      <vt:lpstr>A5148 1R</vt:lpstr>
    </vt:vector>
  </TitlesOfParts>
  <Manager>R224</Manager>
  <Company>NJ Office of Legislative Services</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A5148 1R</dc:title>
  <dc:subject>Local Government</dc:subject>
  <dc:creator>Assemblywoman  QUIJANO</dc:creator>
  <cp:keywords>A5148|4|LG |324|264|297|!||</cp:keywords>
  <dc:description>INTRODUCED DECEMBER 14, 2020_x000d_
Amended 11/15/21</dc:description>
  <cp:lastModifiedBy>Todaro, Vivian</cp:lastModifiedBy>
  <cp:revision>2</cp:revision>
  <cp:lastPrinted>2021-12-06T16:56:00Z</cp:lastPrinted>
  <dcterms:created xsi:type="dcterms:W3CDTF">2021-12-06T16:56:00Z</dcterms:created>
  <dcterms:modified xsi:type="dcterms:W3CDTF">2021-12-06T16:56:00Z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