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353" w:rsidRDefault="005D4E16" w:rsidP="00A00353">
      <w:pPr>
        <w:pStyle w:val="bpuReprint"/>
      </w:pPr>
      <w:bookmarkStart w:id="0" w:name="_GoBack"/>
      <w:bookmarkEnd w:id="0"/>
      <w:r>
        <w:t>[Second Reprint]</w:t>
      </w:r>
    </w:p>
    <w:p w:rsidR="001F60D7" w:rsidRDefault="001F60D7" w:rsidP="001F60D7">
      <w:pPr>
        <w:pStyle w:val="bpuBill"/>
      </w:pPr>
      <w:r>
        <w:t xml:space="preserve">ASSEMBLY, No. 5179 </w:t>
      </w:r>
    </w:p>
    <w:p w:rsidR="001F60D7" w:rsidRPr="009D38FF" w:rsidRDefault="001F60D7" w:rsidP="001F6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14913" r:id="rId7"/>
        </w:object>
      </w:r>
    </w:p>
    <w:p w:rsidR="001F60D7" w:rsidRDefault="001F60D7" w:rsidP="001F60D7">
      <w:pPr>
        <w:pStyle w:val="bpuState"/>
      </w:pPr>
      <w:r>
        <w:t>STATE OF NEW JERSEY</w:t>
      </w:r>
    </w:p>
    <w:p w:rsidR="001F60D7" w:rsidRDefault="001F60D7" w:rsidP="001F60D7">
      <w:pPr>
        <w:pStyle w:val="bpuLegislature"/>
      </w:pPr>
      <w:r>
        <w:t>219th LEGISLATURE</w:t>
      </w:r>
    </w:p>
    <w:p w:rsidR="001F60D7" w:rsidRDefault="001F60D7" w:rsidP="001F60D7">
      <w:pPr>
        <w:pStyle w:val="bpuWpGraphic"/>
      </w:pPr>
      <w:r>
        <w:object w:dxaOrig="8985" w:dyaOrig="255">
          <v:shape id="_x0000_i1026" type="#_x0000_t75" style="width:6in;height:12pt" o:ole="">
            <v:imagedata r:id="rId6" o:title=""/>
          </v:shape>
          <o:OLEObject Type="Embed" ProgID="WPWin6.1" ShapeID="_x0000_i1026" DrawAspect="Content" ObjectID="_1681814914" r:id="rId8"/>
        </w:object>
      </w:r>
      <w:r>
        <w:t xml:space="preserve">  </w:t>
      </w:r>
    </w:p>
    <w:p w:rsidR="001F60D7" w:rsidRDefault="001F60D7" w:rsidP="001F60D7">
      <w:pPr>
        <w:pStyle w:val="bpuIntro"/>
      </w:pPr>
      <w:r>
        <w:t>INTRODUCED DECEMBER 21, 2020</w:t>
      </w:r>
    </w:p>
    <w:p w:rsidR="001F60D7" w:rsidRDefault="001F60D7" w:rsidP="001F60D7">
      <w:pPr>
        <w:pStyle w:val="bpuIntro"/>
      </w:pPr>
    </w:p>
    <w:p w:rsidR="001F60D7" w:rsidRDefault="001F60D7" w:rsidP="001F60D7">
      <w:pPr>
        <w:pStyle w:val="bpuIntro"/>
        <w:sectPr w:rsidR="001F60D7" w:rsidSect="004918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60D7" w:rsidRDefault="001F60D7" w:rsidP="001F60D7">
      <w:pPr>
        <w:pStyle w:val="bpuIntro"/>
      </w:pPr>
    </w:p>
    <w:p w:rsidR="001F60D7" w:rsidRDefault="001F60D7" w:rsidP="001F60D7">
      <w:pPr>
        <w:pStyle w:val="bpuSponsor"/>
      </w:pPr>
      <w:r>
        <w:t>Sponsored by:</w:t>
      </w:r>
    </w:p>
    <w:p w:rsidR="001F60D7" w:rsidRDefault="001F60D7" w:rsidP="001F60D7">
      <w:pPr>
        <w:pStyle w:val="bpuSponsor"/>
      </w:pPr>
      <w:r>
        <w:t>Assemblywoman  VERLINA REYNOLDS-JACKSON</w:t>
      </w:r>
    </w:p>
    <w:p w:rsidR="001F60D7" w:rsidRDefault="001F60D7" w:rsidP="001F60D7">
      <w:pPr>
        <w:pStyle w:val="bpuSponsor"/>
      </w:pPr>
      <w:r>
        <w:t>District 15 (Hunterdon and Mercer)</w:t>
      </w:r>
    </w:p>
    <w:p w:rsidR="001F60D7" w:rsidRDefault="001F60D7" w:rsidP="001F60D7">
      <w:pPr>
        <w:pStyle w:val="bpuSponsor"/>
      </w:pPr>
      <w:r>
        <w:t>Assemblyman  BRIAN BERGEN</w:t>
      </w:r>
    </w:p>
    <w:p w:rsidR="001F60D7" w:rsidRDefault="001F60D7" w:rsidP="001F60D7">
      <w:pPr>
        <w:pStyle w:val="bpuSponsor"/>
      </w:pPr>
      <w:r>
        <w:t>District 25 (Morris and Somerset)</w:t>
      </w:r>
    </w:p>
    <w:p w:rsidR="001F60D7" w:rsidRDefault="001F60D7" w:rsidP="001F60D7">
      <w:pPr>
        <w:pStyle w:val="bpuSponsor"/>
      </w:pPr>
      <w:r>
        <w:t>Assemblyman  JAMEL C. HOLLEY</w:t>
      </w:r>
    </w:p>
    <w:p w:rsidR="001F60D7" w:rsidRDefault="001F60D7" w:rsidP="001F60D7">
      <w:pPr>
        <w:pStyle w:val="bpuSponsor"/>
      </w:pPr>
      <w:r>
        <w:t>District 20 (Union)</w:t>
      </w:r>
    </w:p>
    <w:p w:rsidR="001F60D7" w:rsidRDefault="001F60D7" w:rsidP="001F60D7">
      <w:pPr>
        <w:pStyle w:val="bpuSponsor"/>
      </w:pPr>
    </w:p>
    <w:p w:rsidR="001F60D7" w:rsidRDefault="004918C6" w:rsidP="004918C6">
      <w:pPr>
        <w:pStyle w:val="bpuSponsor"/>
      </w:pPr>
      <w:r>
        <w:t>Co-Sponsored by:</w:t>
      </w:r>
    </w:p>
    <w:p w:rsidR="004918C6" w:rsidRDefault="004918C6" w:rsidP="004918C6">
      <w:pPr>
        <w:pStyle w:val="bpuSponsor"/>
      </w:pPr>
      <w:r w:rsidRPr="004918C6">
        <w:t>Assemblyman Johnson</w:t>
      </w:r>
    </w:p>
    <w:p w:rsidR="004918C6" w:rsidRDefault="004918C6" w:rsidP="004918C6"/>
    <w:p w:rsidR="004918C6" w:rsidRPr="004918C6" w:rsidRDefault="004918C6" w:rsidP="004918C6"/>
    <w:p w:rsidR="001F60D7" w:rsidRDefault="001F60D7" w:rsidP="001F60D7">
      <w:pPr>
        <w:pStyle w:val="bpuSponsor"/>
      </w:pPr>
    </w:p>
    <w:p w:rsidR="001F60D7" w:rsidRDefault="001F60D7" w:rsidP="001F60D7">
      <w:pPr>
        <w:pStyle w:val="bpuSponsor"/>
      </w:pPr>
    </w:p>
    <w:p w:rsidR="001F60D7" w:rsidRDefault="001F60D7" w:rsidP="001F60D7">
      <w:pPr>
        <w:pStyle w:val="bpuSponsor"/>
      </w:pPr>
      <w:r>
        <w:t>SYNOPSIS</w:t>
      </w:r>
    </w:p>
    <w:p w:rsidR="004D15D9" w:rsidRPr="002046ED" w:rsidRDefault="001F60D7" w:rsidP="004D15D9">
      <w:r>
        <w:tab/>
      </w:r>
      <w:r w:rsidR="004D15D9">
        <w:t>Revises certain restrictions on ownership of medical cannabis alternative treatment centers; expands scope of review of alternative treatment center permit applications and related materials.</w:t>
      </w:r>
    </w:p>
    <w:p w:rsidR="001F60D7" w:rsidRDefault="001F60D7" w:rsidP="001F60D7">
      <w:pPr>
        <w:pStyle w:val="bpuNormText"/>
      </w:pPr>
    </w:p>
    <w:p w:rsidR="001F60D7" w:rsidRDefault="001F60D7" w:rsidP="001F60D7">
      <w:pPr>
        <w:pStyle w:val="bpuSponsor"/>
      </w:pPr>
      <w:r>
        <w:t xml:space="preserve">CURRENT VERSION OF TEXT </w:t>
      </w:r>
    </w:p>
    <w:p w:rsidR="001F60D7" w:rsidRDefault="005D4E16" w:rsidP="001F60D7">
      <w:pPr>
        <w:pStyle w:val="bpuNormText"/>
      </w:pPr>
      <w:r>
        <w:tab/>
        <w:t>As reported by the Assembly Health Committee on May 5, 2021, with amendments.</w:t>
      </w:r>
    </w:p>
    <w:p w:rsidR="001F60D7" w:rsidRDefault="001F60D7" w:rsidP="001F6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60D7" w:rsidRDefault="001F60D7" w:rsidP="008916EC">
      <w:pPr>
        <w:pStyle w:val="FronterPage"/>
        <w:tabs>
          <w:tab w:val="clear" w:pos="720"/>
          <w:tab w:val="clear" w:pos="1440"/>
          <w:tab w:val="clear" w:pos="2160"/>
          <w:tab w:val="clear" w:pos="2880"/>
          <w:tab w:val="clear" w:pos="3600"/>
          <w:tab w:val="clear" w:pos="4320"/>
          <w:tab w:val="clear" w:pos="5040"/>
        </w:tabs>
        <w:sectPr w:rsidR="001F60D7" w:rsidSect="001F60D7">
          <w:type w:val="continuous"/>
          <w:pgSz w:w="12240" w:h="20160" w:code="5"/>
          <w:pgMar w:top="1440" w:right="2275" w:bottom="1440" w:left="2275" w:header="72" w:footer="720" w:gutter="0"/>
          <w:pgNumType w:start="1"/>
          <w:cols w:space="720"/>
          <w:docGrid w:linePitch="360"/>
        </w:sectPr>
      </w:pPr>
    </w:p>
    <w:p w:rsidR="00A00353" w:rsidRPr="00677316" w:rsidRDefault="00A00353" w:rsidP="00A00353">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medical cannabis and amending P.L.2009, c.307 </w:t>
      </w:r>
      <w:r>
        <w:rPr>
          <w:rStyle w:val="HangingAnActChar"/>
          <w:rFonts w:ascii="Albertus Extra Bold" w:hAnsi="Albertus Extra Bold"/>
          <w:b/>
          <w:vertAlign w:val="superscript"/>
        </w:rPr>
        <w:t>1</w:t>
      </w:r>
      <w:r>
        <w:rPr>
          <w:rStyle w:val="HangingAnActChar"/>
          <w:spacing w:val="0"/>
          <w:u w:val="single"/>
        </w:rPr>
        <w:t>and P.L.2019, c.153</w:t>
      </w:r>
      <w:r>
        <w:rPr>
          <w:rStyle w:val="HangingAnActChar"/>
          <w:rFonts w:ascii="Albertus Extra Bold" w:hAnsi="Albertus Extra Bold"/>
          <w:b/>
          <w:vertAlign w:val="superscript"/>
        </w:rPr>
        <w:t>1</w:t>
      </w:r>
      <w:r>
        <w:rPr>
          <w:rStyle w:val="HangingAnActChar"/>
          <w:spacing w:val="0"/>
        </w:rPr>
        <w:t xml:space="preserve"> </w:t>
      </w:r>
      <w:r>
        <w:rPr>
          <w:rStyle w:val="HangingAnActChar"/>
        </w:rPr>
        <w:t>.</w:t>
      </w:r>
    </w:p>
    <w:p w:rsidR="000B1054" w:rsidRPr="00D71D68" w:rsidRDefault="000B1054" w:rsidP="000B1054"/>
    <w:p w:rsidR="00686AEB" w:rsidRPr="00AA7880" w:rsidRDefault="00686AEB" w:rsidP="00686AEB">
      <w:r>
        <w:tab/>
      </w:r>
      <w:r w:rsidR="00C770FE">
        <w:rPr>
          <w:rStyle w:val="BillHeading2"/>
        </w:rPr>
        <w:t>Be It Enacted</w:t>
      </w:r>
      <w:r>
        <w:rPr>
          <w:rStyle w:val="BillHeading2"/>
        </w:rPr>
        <w:t xml:space="preserve"> </w:t>
      </w:r>
      <w:r w:rsidR="00C770FE">
        <w:rPr>
          <w:rStyle w:val="BillLanguage"/>
        </w:rPr>
        <w:t>by the Senate and General Assembly of the State of New Jersey:</w:t>
      </w:r>
    </w:p>
    <w:p w:rsidR="00686AEB" w:rsidRDefault="00686AEB" w:rsidP="00686AEB"/>
    <w:p w:rsidR="005D4E16" w:rsidRDefault="005D4E16" w:rsidP="005D4E16">
      <w:r>
        <w:tab/>
        <w:t>1.</w:t>
      </w:r>
      <w:r>
        <w:tab/>
        <w:t>Section 7 of P.L.2009, c.307 (C.24:6I-7) is amended to read as follows:</w:t>
      </w:r>
    </w:p>
    <w:p w:rsidR="005D4E16" w:rsidRDefault="005D4E16" w:rsidP="005D4E16">
      <w:pPr>
        <w:tabs>
          <w:tab w:val="clear" w:pos="1440"/>
          <w:tab w:val="left" w:pos="1080"/>
        </w:tabs>
      </w:pPr>
      <w:r>
        <w:tab/>
        <w:t>7.</w:t>
      </w:r>
      <w:r>
        <w:tab/>
        <w:t>a.</w:t>
      </w:r>
      <w:r>
        <w:tab/>
        <w:t>(1)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5D4E16" w:rsidRDefault="005D4E16" w:rsidP="005D4E16">
      <w:r>
        <w:tab/>
        <w:t>(2)</w:t>
      </w:r>
      <w:r>
        <w:tab/>
        <w:t xml:space="preserve">(a)  For a period of 18 months after the effective date of P.L.2019, c.153 (C.24:6I-5.1 et al.): </w:t>
      </w:r>
    </w:p>
    <w:p w:rsidR="005D4E16" w:rsidRDefault="005D4E16" w:rsidP="005D4E16">
      <w:r>
        <w:tab/>
        <w:t>(i)</w:t>
      </w:r>
      <w:r>
        <w:tab/>
        <w:t>no applicant may concurrently hold more than one permit issued by the commission pursuant to this section, regardless of type; and</w:t>
      </w:r>
    </w:p>
    <w:p w:rsidR="005D4E16" w:rsidRDefault="005D4E16" w:rsidP="005D4E16">
      <w:r>
        <w:tab/>
        <w:t>(ii)</w:t>
      </w:r>
      <w:r>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
    <w:p w:rsidR="005D4E16" w:rsidRDefault="005D4E16" w:rsidP="005D4E16">
      <w:r>
        <w:tab/>
        <w:t>(b)</w:t>
      </w:r>
      <w:r>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5D4E16" w:rsidRDefault="005D4E16" w:rsidP="005D4E16">
      <w:r>
        <w:lastRenderedPageBreak/>
        <w:tab/>
        <w:t>(c)</w:t>
      </w:r>
      <w:r>
        <w:tab/>
        <w:t xml:space="preserve">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subsubparagraph (i) of subparagraph (a) of this paragraph, or to one of the three alternative treatment centers issued a permit pursuant to section 11 of P.L.2019, c.153 (C.24:6I-7.1) that are expressly exempt from the provisions of subsubparagraph (i)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  </w:t>
      </w:r>
    </w:p>
    <w:p w:rsidR="005D4E16" w:rsidRDefault="005D4E16" w:rsidP="005D4E16">
      <w:r>
        <w:tab/>
        <w:t>(d)</w:t>
      </w:r>
      <w:r>
        <w:tab/>
      </w:r>
      <w:r>
        <w:rPr>
          <w:u w:val="single"/>
        </w:rPr>
        <w:t>(i)</w:t>
      </w:r>
      <w:r>
        <w:t xml:space="preserve">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subsubparagraph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5D4E16" w:rsidRPr="00C57C99" w:rsidRDefault="005D4E16" w:rsidP="005D4E16">
      <w:pPr>
        <w:rPr>
          <w:rFonts w:ascii="Albertus Extra Bold" w:hAnsi="Albertus Extra Bold"/>
          <w:b/>
          <w:u w:val="single"/>
          <w:vertAlign w:val="superscript"/>
        </w:rPr>
      </w:pPr>
      <w:r>
        <w:tab/>
      </w:r>
      <w:r>
        <w:rPr>
          <w:u w:val="single"/>
        </w:rPr>
        <w:t>(ii)</w:t>
      </w:r>
      <w:r>
        <w:rPr>
          <w:u w:val="single"/>
        </w:rPr>
        <w:tab/>
        <w:t xml:space="preserve">Notwithstanding the provisions of subsubparagraph (i) of this subparagraph, an investor, investor group, or fund that provides significant financial or technical assistance or the significant use of intellectual property, or a combination thereof, to an applicant for a </w:t>
      </w:r>
      <w:r>
        <w:rPr>
          <w:u w:val="single"/>
        </w:rPr>
        <w:lastRenderedPageBreak/>
        <w:t xml:space="preserve">medical cannabis dispensary permit, which applicant </w:t>
      </w:r>
      <w:r w:rsidRPr="005A2252">
        <w:rPr>
          <w:u w:val="single"/>
        </w:rPr>
        <w:t>has been certified as a minority business pursuant to P.L.1986, c.195 (C.52:27H-21.18</w:t>
      </w:r>
      <w:r>
        <w:rPr>
          <w:u w:val="single"/>
        </w:rPr>
        <w:t> </w:t>
      </w:r>
      <w:r w:rsidRPr="005A2252">
        <w:rPr>
          <w:u w:val="single"/>
        </w:rPr>
        <w:t>et</w:t>
      </w:r>
      <w:r>
        <w:rPr>
          <w:u w:val="single"/>
        </w:rPr>
        <w:t> </w:t>
      </w:r>
      <w:r w:rsidRPr="005A2252">
        <w:rPr>
          <w:u w:val="single"/>
        </w:rPr>
        <w:t>seq.)</w:t>
      </w:r>
      <w:r>
        <w:rPr>
          <w:u w:val="single"/>
        </w:rPr>
        <w:t>, </w:t>
      </w:r>
      <w:r w:rsidRPr="005A2252">
        <w:rPr>
          <w:u w:val="single"/>
        </w:rPr>
        <w:t>a women's business pursuant to P.L.1986, c.195 (C.52:27H-21.18 et seq.)</w:t>
      </w:r>
      <w:r>
        <w:rPr>
          <w:u w:val="single"/>
        </w:rPr>
        <w:t xml:space="preserve">, </w:t>
      </w:r>
      <w:r w:rsidRPr="005A2252">
        <w:rPr>
          <w:u w:val="single"/>
        </w:rPr>
        <w:t>or</w:t>
      </w:r>
      <w:r>
        <w:rPr>
          <w:u w:val="single"/>
        </w:rPr>
        <w:t xml:space="preserve"> </w:t>
      </w:r>
      <w:r w:rsidRPr="005A2252">
        <w:rPr>
          <w:u w:val="single"/>
        </w:rPr>
        <w:t>is a disabled-veterans' business, as defined in section 2 of P.L.2015, c.116 (C.52:32-31.2)</w:t>
      </w:r>
      <w:r>
        <w:rPr>
          <w:u w:val="single"/>
        </w:rPr>
        <w:t>, may own up to a</w:t>
      </w:r>
      <w:r w:rsidRPr="005E5DB7">
        <w:t xml:space="preserve"> </w:t>
      </w:r>
      <w:r w:rsidRPr="005E5DB7">
        <w:rPr>
          <w:rFonts w:ascii="Albertus Extra Bold" w:hAnsi="Albertus Extra Bold"/>
          <w:b/>
          <w:vertAlign w:val="superscript"/>
        </w:rPr>
        <w:t>2</w:t>
      </w:r>
      <w:r w:rsidRPr="005E5DB7">
        <w:rPr>
          <w:rFonts w:ascii="Albertus Extra Bold" w:hAnsi="Albertus Extra Bold"/>
          <w:b/>
        </w:rPr>
        <w:t>[</w:t>
      </w:r>
      <w:r>
        <w:rPr>
          <w:u w:val="single"/>
        </w:rPr>
        <w:t>40</w:t>
      </w:r>
      <w:r w:rsidRPr="005E5DB7">
        <w:rPr>
          <w:rFonts w:ascii="Albertus Extra Bold" w:hAnsi="Albertus Extra Bold"/>
          <w:b/>
        </w:rPr>
        <w:t>]</w:t>
      </w:r>
      <w:r>
        <w:t xml:space="preserve"> </w:t>
      </w:r>
      <w:r>
        <w:rPr>
          <w:u w:val="single"/>
        </w:rPr>
        <w:t>35</w:t>
      </w:r>
      <w:r w:rsidRPr="005E5DB7">
        <w:rPr>
          <w:rFonts w:ascii="Albertus Extra Bold" w:hAnsi="Albertus Extra Bold"/>
          <w:b/>
          <w:vertAlign w:val="superscript"/>
        </w:rPr>
        <w:t>2</w:t>
      </w:r>
      <w:r w:rsidRPr="005E5DB7">
        <w:t xml:space="preserve"> </w:t>
      </w:r>
      <w:r>
        <w:rPr>
          <w:u w:val="single"/>
        </w:rPr>
        <w:t>percent interest in up to</w:t>
      </w:r>
      <w:r w:rsidRPr="00C57C99">
        <w:t xml:space="preserve"> </w:t>
      </w:r>
      <w:r w:rsidRPr="00C57C99">
        <w:rPr>
          <w:rFonts w:ascii="Albertus Extra Bold" w:hAnsi="Albertus Extra Bold"/>
          <w:b/>
          <w:vertAlign w:val="superscript"/>
        </w:rPr>
        <w:t>2</w:t>
      </w:r>
      <w:r w:rsidRPr="005E5DB7">
        <w:rPr>
          <w:rFonts w:ascii="Albertus Extra Bold" w:hAnsi="Albertus Extra Bold"/>
          <w:b/>
        </w:rPr>
        <w:t>[</w:t>
      </w:r>
      <w:r>
        <w:rPr>
          <w:u w:val="single"/>
        </w:rPr>
        <w:t>10</w:t>
      </w:r>
      <w:r w:rsidRPr="005E5DB7">
        <w:rPr>
          <w:rFonts w:ascii="Albertus Extra Bold" w:hAnsi="Albertus Extra Bold"/>
          <w:b/>
        </w:rPr>
        <w:t>]</w:t>
      </w:r>
      <w:r>
        <w:rPr>
          <w:rFonts w:ascii="Albertus Extra Bold" w:hAnsi="Albertus Extra Bold"/>
          <w:b/>
        </w:rPr>
        <w:t xml:space="preserve"> </w:t>
      </w:r>
      <w:r>
        <w:rPr>
          <w:u w:val="single"/>
        </w:rPr>
        <w:t>seven</w:t>
      </w:r>
      <w:r>
        <w:rPr>
          <w:rFonts w:ascii="Albertus Extra Bold" w:hAnsi="Albertus Extra Bold"/>
          <w:b/>
          <w:vertAlign w:val="superscript"/>
        </w:rPr>
        <w:t>2</w:t>
      </w:r>
      <w:r w:rsidRPr="005E5DB7">
        <w:t xml:space="preserve"> </w:t>
      </w:r>
      <w:r>
        <w:rPr>
          <w:u w:val="single"/>
        </w:rPr>
        <w:t>entities that have been issued a medical cannabis dispensary permit, provided that each such medical cannabis dispensary is a certified minority or women’s business or a disabled-veterans’ business, and the terms of the agreement to provide significant financial or technical assistance or the significant use of intellectual property, or a combination thereof, whether provided in the form of equity, a loan, or otherwise, including interest rates, returns, and fees, are commercially reasonable based on the terms generally provided to comparable businesses.  The terms of the agreement for the provision of significant financial or technical assistance or the significant use of intellectual property, or a combination thereof, may include performance, quality, and other requirements as a condition of providing the financial or technical assistance or use of intellectual property.</w:t>
      </w:r>
      <w:r w:rsidRPr="006A2D39">
        <w:t xml:space="preserve">  </w:t>
      </w:r>
      <w:r>
        <w:rPr>
          <w:rFonts w:ascii="Albertus Extra Bold" w:hAnsi="Albertus Extra Bold"/>
          <w:b/>
          <w:vertAlign w:val="superscript"/>
        </w:rPr>
        <w:t>1</w:t>
      </w:r>
      <w:r>
        <w:rPr>
          <w:u w:val="single"/>
        </w:rPr>
        <w:t xml:space="preserve">An applicant for a medical cannabis dispensary permit that has or will receive </w:t>
      </w:r>
      <w:r w:rsidRPr="00BA7A04">
        <w:rPr>
          <w:u w:val="single"/>
        </w:rPr>
        <w:t>significant financial or technical assistance or the significant use of intellectual property under this subsubparagraph</w:t>
      </w:r>
      <w:r>
        <w:rPr>
          <w:u w:val="single"/>
        </w:rPr>
        <w:t xml:space="preserve"> shall include with the permit application materials submitted to the commission a copy of the agreement to provide significant financial or technical assistance or significant use of intellectual property, or a combination thereof, which agreement shall be subject to review by the commission as provided in subsection f. of section 11 of P.L.2019, c.153 (C.24:6I-7.1).</w:t>
      </w:r>
      <w:r>
        <w:rPr>
          <w:rFonts w:ascii="Albertus Extra Bold" w:hAnsi="Albertus Extra Bold"/>
          <w:b/>
          <w:vertAlign w:val="superscript"/>
        </w:rPr>
        <w:t>1</w:t>
      </w:r>
    </w:p>
    <w:p w:rsidR="005D4E16" w:rsidRPr="007F692F" w:rsidRDefault="005D4E16" w:rsidP="005D4E16">
      <w:r>
        <w:tab/>
      </w:r>
      <w:r>
        <w:rPr>
          <w:u w:val="single"/>
        </w:rPr>
        <w:t>An applicant for a medical cannabis dispensary permit that receives significant financial or technical assistance or the significant use of intellectual property under this subsubparagraph shall pay back to the investor, investor group, or fund the full value of the financial or technical assistance or intellectual property provided under the agreement, plus any applicable interest and fees,</w:t>
      </w:r>
      <w:r w:rsidRPr="007F692F">
        <w:t xml:space="preserve"> </w:t>
      </w:r>
      <w:r w:rsidRPr="007F692F">
        <w:rPr>
          <w:rFonts w:ascii="Albertus Extra Bold" w:hAnsi="Albertus Extra Bold"/>
          <w:b/>
          <w:vertAlign w:val="superscript"/>
        </w:rPr>
        <w:t>2</w:t>
      </w:r>
      <w:r w:rsidRPr="003D6652">
        <w:rPr>
          <w:rFonts w:ascii="Albertus Extra Bold" w:hAnsi="Albertus Extra Bold"/>
          <w:b/>
        </w:rPr>
        <w:t>[</w:t>
      </w:r>
      <w:r>
        <w:rPr>
          <w:u w:val="single"/>
        </w:rPr>
        <w:t>within seven years after the date the applicant entered into the agreement for the provision of significant financial or technical assistance or significant use of intellectual property, but no earlier than three years</w:t>
      </w:r>
      <w:r w:rsidRPr="003D6652">
        <w:rPr>
          <w:rFonts w:ascii="Albertus Extra Bold" w:hAnsi="Albertus Extra Bold"/>
          <w:b/>
        </w:rPr>
        <w:t>]</w:t>
      </w:r>
      <w:r w:rsidRPr="003D6652">
        <w:t xml:space="preserve"> </w:t>
      </w:r>
      <w:r>
        <w:rPr>
          <w:u w:val="single"/>
        </w:rPr>
        <w:t>in a period not less than five years</w:t>
      </w:r>
      <w:r w:rsidRPr="003D6652">
        <w:rPr>
          <w:rFonts w:ascii="Albertus Extra Bold" w:hAnsi="Albertus Extra Bold"/>
          <w:b/>
          <w:vertAlign w:val="superscript"/>
        </w:rPr>
        <w:t>2</w:t>
      </w:r>
      <w:r>
        <w:rPr>
          <w:rFonts w:ascii="Albertus Extra Bold" w:hAnsi="Albertus Extra Bold"/>
          <w:b/>
          <w:vertAlign w:val="superscript"/>
        </w:rPr>
        <w:t xml:space="preserve"> </w:t>
      </w:r>
      <w:r>
        <w:rPr>
          <w:u w:val="single"/>
        </w:rPr>
        <w:t>after the date of the agreement</w:t>
      </w:r>
      <w:r w:rsidRPr="003D6652">
        <w:t xml:space="preserve"> </w:t>
      </w:r>
      <w:r w:rsidRPr="003D6652">
        <w:rPr>
          <w:rFonts w:ascii="Albertus Extra Bold" w:hAnsi="Albertus Extra Bold"/>
          <w:b/>
          <w:vertAlign w:val="superscript"/>
        </w:rPr>
        <w:t>2</w:t>
      </w:r>
      <w:r w:rsidRPr="003D6652">
        <w:rPr>
          <w:u w:val="single"/>
        </w:rPr>
        <w:t xml:space="preserve">if the full value of the assistance </w:t>
      </w:r>
      <w:r>
        <w:rPr>
          <w:u w:val="single"/>
        </w:rPr>
        <w:t>or property is less than</w:t>
      </w:r>
      <w:r w:rsidRPr="003D6652">
        <w:rPr>
          <w:u w:val="single"/>
        </w:rPr>
        <w:t xml:space="preserve"> $100,000</w:t>
      </w:r>
      <w:r>
        <w:rPr>
          <w:u w:val="single"/>
        </w:rPr>
        <w:t>, in a period not less than seven years after the date of the agreement if the full value of the assistance or property is</w:t>
      </w:r>
      <w:r w:rsidRPr="007F692F">
        <w:rPr>
          <w:u w:val="single"/>
        </w:rPr>
        <w:t xml:space="preserve"> </w:t>
      </w:r>
      <w:r>
        <w:rPr>
          <w:u w:val="single"/>
        </w:rPr>
        <w:t>between $100,001</w:t>
      </w:r>
      <w:r w:rsidRPr="007F692F">
        <w:rPr>
          <w:u w:val="single"/>
        </w:rPr>
        <w:t xml:space="preserve"> and $250,000, </w:t>
      </w:r>
      <w:r>
        <w:rPr>
          <w:u w:val="single"/>
        </w:rPr>
        <w:t xml:space="preserve">in a period not less than 10 years after the date of agreement if the full value of the assistance or property is </w:t>
      </w:r>
      <w:r w:rsidRPr="007F692F">
        <w:rPr>
          <w:u w:val="single"/>
        </w:rPr>
        <w:t>between $250,001 and $500,000, and</w:t>
      </w:r>
      <w:r>
        <w:rPr>
          <w:u w:val="single"/>
        </w:rPr>
        <w:t xml:space="preserve">, </w:t>
      </w:r>
      <w:r w:rsidRPr="007F692F">
        <w:rPr>
          <w:u w:val="single"/>
        </w:rPr>
        <w:t>subject to any terms and conditions imposed by a lender</w:t>
      </w:r>
      <w:r>
        <w:rPr>
          <w:u w:val="single"/>
        </w:rPr>
        <w:t xml:space="preserve">, </w:t>
      </w:r>
      <w:r w:rsidRPr="007F692F">
        <w:rPr>
          <w:u w:val="single"/>
        </w:rPr>
        <w:t>in a period not less than 10 years</w:t>
      </w:r>
      <w:r>
        <w:rPr>
          <w:u w:val="single"/>
        </w:rPr>
        <w:t xml:space="preserve"> after the date of the agreement</w:t>
      </w:r>
      <w:r w:rsidRPr="007F692F">
        <w:rPr>
          <w:u w:val="single"/>
        </w:rPr>
        <w:t xml:space="preserve"> if the full value of the </w:t>
      </w:r>
      <w:r w:rsidRPr="007F692F">
        <w:rPr>
          <w:u w:val="single"/>
        </w:rPr>
        <w:lastRenderedPageBreak/>
        <w:t>assistance or property is greater</w:t>
      </w:r>
      <w:r>
        <w:rPr>
          <w:u w:val="single"/>
        </w:rPr>
        <w:t xml:space="preserve"> than</w:t>
      </w:r>
      <w:r w:rsidRPr="007F692F">
        <w:rPr>
          <w:u w:val="single"/>
        </w:rPr>
        <w:t xml:space="preserve"> </w:t>
      </w:r>
      <w:r>
        <w:rPr>
          <w:u w:val="single"/>
        </w:rPr>
        <w:t>$500,000</w:t>
      </w:r>
      <w:r>
        <w:rPr>
          <w:rFonts w:ascii="Albertus Extra Bold" w:hAnsi="Albertus Extra Bold"/>
          <w:b/>
          <w:vertAlign w:val="superscript"/>
        </w:rPr>
        <w:t>2</w:t>
      </w:r>
      <w:r>
        <w:rPr>
          <w:u w:val="single"/>
        </w:rPr>
        <w:t>.  An investor, investor group, or fund that has acquired an ownership interest in one or more entities that have been issued a medical cannabis dispensary permit as authorized under this subsubparagraph may maintain the ownership interest after the date the full value of the financial or technical assistance or use of intellectual property provided under the agreement, plus interest and fees, has been repaid by the applicant that received the assistance or use of intellectual property.</w:t>
      </w:r>
    </w:p>
    <w:p w:rsidR="005D4E16" w:rsidRDefault="005D4E16" w:rsidP="005D4E16">
      <w:r>
        <w:tab/>
      </w:r>
      <w:r>
        <w:rPr>
          <w:u w:val="single"/>
        </w:rPr>
        <w:t xml:space="preserve">In no case may the controlling interest in the entity that holds a medical cannabis dispensary permit in which an investor, investor group, or fund owns an interest as authorized under this subsubparagraph revert to the investor, investor group, or fund in the event of a default or failure by the certified minority or women’s business or disabled-veterans’ business, as applicable, and any such controlling interest may only be transferred to a certified minority or women’s business or a disabled-veterans’ business.  </w:t>
      </w:r>
    </w:p>
    <w:p w:rsidR="005D4E16" w:rsidRDefault="005D4E16" w:rsidP="005D4E16">
      <w:pPr>
        <w:rPr>
          <w:u w:val="single"/>
        </w:rPr>
      </w:pPr>
      <w:r>
        <w:tab/>
      </w:r>
      <w:r>
        <w:rPr>
          <w:u w:val="single"/>
        </w:rPr>
        <w:t>An entity issued a medical cannabis cultivator, medical cannabis manufacturer, or medical cannabis dispensary permit, or an individual associated with the ownership or management of the entity, may participate in an investor group or a fund that meets the requirements of this subsubparagraph.</w:t>
      </w:r>
    </w:p>
    <w:p w:rsidR="005D4E16" w:rsidRDefault="005D4E16" w:rsidP="005D4E16">
      <w:r>
        <w:tab/>
        <w:t>(e)</w:t>
      </w:r>
      <w:r>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5D4E16" w:rsidRDefault="005D4E16" w:rsidP="005D4E16">
      <w:r>
        <w:tab/>
        <w:t>(f)</w:t>
      </w:r>
      <w:r>
        <w:tab/>
        <w:t>Any medical cannabis dispensary permit holder may be approved by the commission to operate a medical cannabis consumption area, provided that the permit holder otherwise meets the requirements of section 28 of P.L.2019, c.153 (C.24:6I-21).</w:t>
      </w:r>
    </w:p>
    <w:p w:rsidR="005D4E16" w:rsidRDefault="005D4E16" w:rsidP="005D4E16">
      <w:r>
        <w:tab/>
        <w:t>(g)</w:t>
      </w:r>
      <w:r>
        <w:tab/>
        <w:t xml:space="preserve">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w:t>
      </w:r>
      <w:r>
        <w:lastRenderedPageBreak/>
        <w:t>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5D4E16" w:rsidRDefault="005D4E16" w:rsidP="005D4E16">
      <w:r>
        <w:tab/>
        <w:t>(3)</w:t>
      </w:r>
      <w:r>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5D4E16" w:rsidRDefault="005D4E16" w:rsidP="005D4E16">
      <w:r>
        <w:tab/>
        <w:t>(4)</w:t>
      </w:r>
      <w:r>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5D4E16" w:rsidRDefault="005D4E16" w:rsidP="005D4E16">
      <w:r>
        <w:tab/>
        <w:t>(5)</w:t>
      </w:r>
      <w:r>
        <w:tab/>
        <w:t xml:space="preserve">(a) A medical cannabis cultivator shall be authorized to: acquire a reasonable initial and ongoing inventory, as determined by the commission, of cannabis seeds or seedlings and paraphernalia; possess, cultivate, plant, grow, harvest, and package medical cannabis, including prerolled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5D4E16" w:rsidRDefault="005D4E16" w:rsidP="005D4E16">
      <w:r>
        <w:tab/>
        <w:t>(b)</w:t>
      </w:r>
      <w:r>
        <w:tab/>
        <w:t xml:space="preserve">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w:t>
      </w:r>
      <w:r>
        <w:lastRenderedPageBreak/>
        <w:t>transfer, transport, supply, or sell medical cannabis products and related supplies to any medical cannabis manufacturer, medical cannabis dispensary, or clinical registrant in the State.</w:t>
      </w:r>
    </w:p>
    <w:p w:rsidR="005D4E16" w:rsidRDefault="005D4E16" w:rsidP="005D4E16">
      <w:r>
        <w:tab/>
        <w:t>(c)</w:t>
      </w:r>
      <w:r>
        <w:tab/>
        <w:t>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5D4E16" w:rsidRDefault="005D4E16" w:rsidP="005D4E16">
      <w:r>
        <w:tab/>
        <w:t>(6)</w:t>
      </w:r>
      <w:r>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5D4E16" w:rsidRDefault="005D4E16" w:rsidP="005D4E16">
      <w:r>
        <w:tab/>
        <w:t>(7)</w:t>
      </w:r>
      <w:r>
        <w:tab/>
        <w:t>Nonprofit medical cannabis cultivators, medical cannabis manufacturers, and medical cannabis dispensaries need not be recognized as a 501(c)(3) organization by the federal Internal Revenue Service.</w:t>
      </w:r>
    </w:p>
    <w:p w:rsidR="005D4E16" w:rsidRDefault="005D4E16" w:rsidP="005D4E16">
      <w:r>
        <w:tab/>
        <w:t xml:space="preserve"> b.</w:t>
      </w:r>
      <w:r>
        <w:tab/>
        <w:t>The commission shall require that an applicant provide such information as the commission determines to be necessary pursuant to regulations adopted pursuant to P.L.2009, c.307 (C.24:6I-1 et al.).</w:t>
      </w:r>
    </w:p>
    <w:p w:rsidR="005D4E16" w:rsidRDefault="005D4E16" w:rsidP="005D4E16">
      <w:r>
        <w:tab/>
        <w:t xml:space="preserve"> c.</w:t>
      </w:r>
      <w:r>
        <w:tab/>
        <w:t xml:space="preserve">A person who has been convicted of a crime of the first, second, or third degree under New Jersey law or of a crime involving any controlled dangerous substance or controlled </w:t>
      </w:r>
      <w:r>
        <w:lastRenderedPageBreak/>
        <w:t>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5D4E16" w:rsidRDefault="005D4E16" w:rsidP="005D4E16">
      <w:r>
        <w:tab/>
        <w:t xml:space="preserve"> d.</w:t>
      </w:r>
      <w:r>
        <w:tab/>
        <w:t xml:space="preserve">(1)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5D4E16" w:rsidRDefault="005D4E16" w:rsidP="005D4E16">
      <w:r>
        <w:tab/>
        <w:t xml:space="preserve">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w:t>
      </w:r>
      <w:r>
        <w:lastRenderedPageBreak/>
        <w:t>cannabis cultivator, medical cannabis manufacturer, medical cannabis dispensary, or clinical registrant.</w:t>
      </w:r>
    </w:p>
    <w:p w:rsidR="005D4E16" w:rsidRDefault="005D4E16" w:rsidP="005D4E16">
      <w:r>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5D4E16" w:rsidRDefault="005D4E16" w:rsidP="005D4E16">
      <w:r>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5D4E16" w:rsidRDefault="005D4E16" w:rsidP="005D4E16">
      <w:r>
        <w:tab/>
        <w:t>(2)</w:t>
      </w:r>
      <w:r>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5D4E16" w:rsidRDefault="005D4E16" w:rsidP="005D4E16">
      <w:r>
        <w:tab/>
        <w:t>(3)</w:t>
      </w:r>
      <w:r>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5D4E16" w:rsidRDefault="005D4E16" w:rsidP="005D4E16">
      <w:r>
        <w:tab/>
        <w:t xml:space="preserve">If the applicant is disqualified because of a disqualifying conviction pursuant to the provisions of this section, the conviction </w:t>
      </w:r>
      <w:r>
        <w:lastRenderedPageBreak/>
        <w:t>that constitutes the basis for the disqualification shall be identified in the written notice.</w:t>
      </w:r>
    </w:p>
    <w:p w:rsidR="005D4E16" w:rsidRDefault="005D4E16" w:rsidP="005D4E16">
      <w:r>
        <w:tab/>
        <w:t>(4)</w:t>
      </w:r>
      <w: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5D4E16" w:rsidRDefault="005D4E16" w:rsidP="005D4E16">
      <w:r>
        <w:tab/>
        <w:t>(5)</w:t>
      </w:r>
      <w:r>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5D4E16" w:rsidRDefault="005D4E16" w:rsidP="005D4E16">
      <w:r>
        <w:tab/>
        <w:t>(6)</w:t>
      </w:r>
      <w:r>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5D4E16" w:rsidRDefault="005D4E16" w:rsidP="005D4E16">
      <w:r>
        <w:tab/>
        <w:t>(a)</w:t>
      </w:r>
      <w:r>
        <w:tab/>
        <w:t>the nature and responsibility of the position which the convicted individual would hold, has held, or currently holds;</w:t>
      </w:r>
    </w:p>
    <w:p w:rsidR="005D4E16" w:rsidRDefault="005D4E16" w:rsidP="005D4E16">
      <w:r>
        <w:tab/>
        <w:t>(b)</w:t>
      </w:r>
      <w:r>
        <w:tab/>
        <w:t>the nature and seriousness of the crime or offense;</w:t>
      </w:r>
    </w:p>
    <w:p w:rsidR="005D4E16" w:rsidRDefault="005D4E16" w:rsidP="005D4E16">
      <w:r>
        <w:tab/>
        <w:t>(c)</w:t>
      </w:r>
      <w:r>
        <w:tab/>
        <w:t>the circumstances under which the crime or offense occurred;</w:t>
      </w:r>
    </w:p>
    <w:p w:rsidR="005D4E16" w:rsidRDefault="005D4E16" w:rsidP="005D4E16">
      <w:r>
        <w:tab/>
        <w:t>(d)</w:t>
      </w:r>
      <w:r>
        <w:tab/>
        <w:t>the date of the crime or offense;</w:t>
      </w:r>
    </w:p>
    <w:p w:rsidR="005D4E16" w:rsidRDefault="005D4E16" w:rsidP="005D4E16">
      <w:r>
        <w:tab/>
        <w:t>(e)</w:t>
      </w:r>
      <w:r>
        <w:tab/>
        <w:t>the age of the individual when the crime or offense was committed;</w:t>
      </w:r>
    </w:p>
    <w:p w:rsidR="005D4E16" w:rsidRDefault="005D4E16" w:rsidP="005D4E16">
      <w:r>
        <w:tab/>
        <w:t>(f)</w:t>
      </w:r>
      <w:r>
        <w:tab/>
        <w:t>whether the crime or offense was an isolated or repeated incident;</w:t>
      </w:r>
    </w:p>
    <w:p w:rsidR="005D4E16" w:rsidRDefault="005D4E16" w:rsidP="005D4E16">
      <w:r>
        <w:tab/>
        <w:t>(g)</w:t>
      </w:r>
      <w:r>
        <w:tab/>
        <w:t>any social conditions which may have contributed to the commission of the crime or offense; and</w:t>
      </w:r>
    </w:p>
    <w:p w:rsidR="005D4E16" w:rsidRDefault="005D4E16" w:rsidP="005D4E16">
      <w:r>
        <w:tab/>
        <w:t>(h)</w:t>
      </w:r>
      <w:r>
        <w:tab/>
        <w:t xml:space="preserve">any evidence of rehabilitation, including good conduct in prison or in the community, counseling or psychiatric treatment received, acquisition of additional academic or vocational schooling, successful participation in correctional work-release </w:t>
      </w:r>
      <w:r>
        <w:lastRenderedPageBreak/>
        <w:t>programs, or the recommendation of those who have had the individual under their supervision.</w:t>
      </w:r>
    </w:p>
    <w:p w:rsidR="005D4E16" w:rsidRDefault="005D4E16" w:rsidP="005D4E16">
      <w:r>
        <w:tab/>
        <w:t xml:space="preserve"> e.</w:t>
      </w:r>
      <w:r>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5D4E16" w:rsidRDefault="005D4E16" w:rsidP="005D4E16">
      <w:r>
        <w:tab/>
        <w:t xml:space="preserve"> f.</w:t>
      </w:r>
      <w:r>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5D4E16" w:rsidRDefault="005D4E16" w:rsidP="005D4E16">
      <w:r>
        <w:tab/>
        <w:t xml:space="preserve"> g.</w:t>
      </w:r>
      <w:r>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5D4E16" w:rsidRDefault="005D4E16" w:rsidP="005D4E16">
      <w:r>
        <w:tab/>
        <w:t xml:space="preserve"> h.</w:t>
      </w:r>
      <w:r>
        <w:tab/>
        <w:t xml:space="preserve">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w:t>
      </w:r>
      <w:r>
        <w:lastRenderedPageBreak/>
        <w:t>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5D4E16" w:rsidRDefault="005D4E16" w:rsidP="005D4E16">
      <w:r>
        <w:tab/>
        <w:t xml:space="preserve"> i.</w:t>
      </w:r>
      <w:r>
        <w:tab/>
        <w:t>The commission shall adopt regulations to:</w:t>
      </w:r>
    </w:p>
    <w:p w:rsidR="005D4E16" w:rsidRDefault="005D4E16" w:rsidP="005D4E16">
      <w:r>
        <w:tab/>
        <w:t>(1)</w:t>
      </w:r>
      <w:r>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5D4E16" w:rsidRDefault="005D4E16" w:rsidP="005D4E16">
      <w:r>
        <w:tab/>
        <w:t>(2)</w:t>
      </w:r>
      <w:r>
        <w:tab/>
        <w:t xml:space="preserve">monitor, oversee, and investigate all activities performed by medical cannabis cultivators, medical cannabis manufacturers, medical cannabis dispensaries, and clinical registrants; </w:t>
      </w:r>
    </w:p>
    <w:p w:rsidR="005D4E16" w:rsidRDefault="005D4E16" w:rsidP="005D4E16">
      <w:r>
        <w:tab/>
        <w:t>(3)</w:t>
      </w:r>
      <w:r>
        <w:tab/>
        <w:t>ensure adequate security of all facilities 24 hours per day and security of all delivery methods to registered qualifying patients; and</w:t>
      </w:r>
    </w:p>
    <w:p w:rsidR="005D4E16" w:rsidRDefault="005D4E16" w:rsidP="005D4E16">
      <w:r>
        <w:tab/>
        <w:t>(4)</w:t>
      </w:r>
      <w:r>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5D4E16" w:rsidRDefault="005D4E16" w:rsidP="005D4E16">
      <w:r>
        <w:tab/>
        <w:t xml:space="preserve"> j.</w:t>
      </w:r>
      <w:r>
        <w:tab/>
        <w:t>(1)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5D4E16" w:rsidRDefault="005D4E16" w:rsidP="005D4E16">
      <w:r>
        <w:tab/>
        <w:t>(2)</w:t>
      </w:r>
      <w:r>
        <w:tab/>
        <w:t xml:space="preserve">Each medical cannabis dispensary and clinical registrant shall consider whether to make interpreter services available to the population served, including for individuals with a visual or hearing impairment.  The commission shall provide assistance to any </w:t>
      </w:r>
      <w:r>
        <w:lastRenderedPageBreak/>
        <w:t>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5D4E16" w:rsidRDefault="005D4E16" w:rsidP="005D4E16">
      <w:r>
        <w:tab/>
        <w:t xml:space="preserve"> k.</w:t>
      </w:r>
      <w:r>
        <w:tab/>
        <w:t xml:space="preserve">(1)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5D4E16" w:rsidRDefault="005D4E16" w:rsidP="005D4E16">
      <w:r>
        <w:tab/>
        <w:t>(2)</w:t>
      </w:r>
      <w:r>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5D4E16" w:rsidRDefault="005D4E16" w:rsidP="005D4E16">
      <w:r>
        <w:tab/>
        <w:t xml:space="preserve"> l.</w:t>
      </w:r>
      <w:r>
        <w:tab/>
        <w:t xml:space="preserve">No employee of any department, division, agency, board, or other State, county, or local government entity involved in the </w:t>
      </w:r>
      <w:r>
        <w:lastRenderedPageBreak/>
        <w:t>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5D4E16" w:rsidRDefault="005D4E16" w:rsidP="005D4E16">
      <w:r>
        <w:tab/>
        <w:t xml:space="preserve"> m.</w:t>
      </w:r>
      <w:r>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5D4E16" w:rsidRDefault="005D4E16" w:rsidP="005D4E16">
      <w:r>
        <w:t>(cf: P.L.2019, c.153, s.10)</w:t>
      </w:r>
    </w:p>
    <w:p w:rsidR="00582CE4" w:rsidRDefault="00582CE4" w:rsidP="00582CE4"/>
    <w:p w:rsidR="00A20CD0" w:rsidRDefault="00A20CD0" w:rsidP="00A20CD0">
      <w:r>
        <w:tab/>
      </w:r>
      <w:r>
        <w:rPr>
          <w:rFonts w:ascii="Albertus Extra Bold" w:hAnsi="Albertus Extra Bold"/>
          <w:b/>
          <w:vertAlign w:val="superscript"/>
        </w:rPr>
        <w:t>1</w:t>
      </w:r>
      <w:r w:rsidR="00AF399F">
        <w:t>2.</w:t>
      </w:r>
      <w:r w:rsidR="00AF399F">
        <w:tab/>
      </w:r>
      <w:r>
        <w:t>Section 11 of P.L.2019, c.153 (C.24:6I-7.1) is amended to read as follows:</w:t>
      </w:r>
    </w:p>
    <w:p w:rsidR="00A20CD0" w:rsidRDefault="00A20CD0" w:rsidP="00A20CD0">
      <w:r>
        <w:tab/>
      </w:r>
      <w:r w:rsidR="00AF399F">
        <w:t>11.</w:t>
      </w:r>
      <w:r w:rsidR="00AF399F">
        <w:tab/>
      </w:r>
      <w:r>
        <w:t>a.</w:t>
      </w:r>
      <w:r w:rsidR="00AF399F">
        <w:t xml:space="preserve"> </w:t>
      </w:r>
      <w:r>
        <w:t xml:space="preserve"> The commission shall, no later than 90 days after the effective date of P.L.2019, c.153 (C.24:6I-5.1 et al.) or upon adoption of rules and regulations as provided in subsection c. of section 18 of P.L.2009, c.307 (C.24:6I-16), whichever occurs later, begin accepting and processing applications for new medical cannabis cultivator, medical cannabis manufacturer, and medical cannabis dispensary permits.  Notwithstanding the provisions of subsubparagraph (i) of subparagraph (a) of paragraph (2) of subsection a. of section 7 of P.L.2009, c.307 (C.24:6I-7), the first three alternative treatment center permits issued by the commission pursuant to an application submitted on or after the effective date of P.L.2019, c.153 (C.24:6I-5.1 et al.) and up to four alternative treatment centers permits issued by the commission after the effective date of P.L.2019, c.153 (C.24:6I-5.1 et al.) pursuant to an application submitted pursuant to a request for applications published in the New Jersey Register prior to the effective date of P.L.2019, c.153 (C.24:6I-5.1 et al.) shall be deemed to concurrently hold a medical cannabis cultivator permit, a medical cannabis manufacturer permit, and a medical cannabis dispensary permit; of </w:t>
      </w:r>
      <w:r>
        <w:lastRenderedPageBreak/>
        <w:t xml:space="preserve">these permits, one permit shall be issued to an applicant located in the northern region of the State, one permit shall be issued to an applicant located in the central region of the State, and one permit shall be issued to an applicant located in the southern region of the State.  Any permits issued by the commission thereafter shall be subject to the provisions of subsubparagraph (i) of subparagraph (a) of paragraph (2) of subsection a. of section 7 of P.L.2009, c.307 (C.24:6I-7), and the requirements of subsection d. of this section concerning conditional permits. </w:t>
      </w:r>
    </w:p>
    <w:p w:rsidR="00A20CD0" w:rsidRDefault="00A20CD0" w:rsidP="00A20CD0">
      <w:r>
        <w:tab/>
        <w:t>b.</w:t>
      </w:r>
      <w:r>
        <w:tab/>
        <w:t>The commission may establish nonrefundable application fees for permit applications and conditional permit applications, and permit and conditional permit fees for successful applicants.</w:t>
      </w:r>
    </w:p>
    <w:p w:rsidR="00A20CD0" w:rsidRDefault="00AF399F" w:rsidP="00A20CD0">
      <w:r>
        <w:tab/>
        <w:t>c.</w:t>
      </w:r>
      <w:r>
        <w:tab/>
      </w:r>
      <w:r w:rsidR="00A20CD0">
        <w:t>(1)</w:t>
      </w:r>
      <w:r>
        <w:t xml:space="preserve"> </w:t>
      </w:r>
      <w:r w:rsidR="00A20CD0">
        <w:t xml:space="preserve"> The commission shall make a determination as to any permit application, other than an application for a conditional permit submitted pursuant to subsection d. of this section, no later than 90 days after receiving the application, which may include a determination that the commission reasonably requires more time to adequately review the application.  </w:t>
      </w:r>
    </w:p>
    <w:p w:rsidR="00A20CD0" w:rsidRDefault="00A20CD0" w:rsidP="00A20CD0">
      <w:r>
        <w:tab/>
        <w:t>(2)</w:t>
      </w:r>
      <w:r>
        <w:tab/>
        <w:t xml:space="preserve">The commission shall issue a permit, other than a conditional permit, to an approved applicant at such time as the commission completes the application review process and any mandatory inspections, and determines that the applicant is in compliance with and is implementing the plans, procedures, protocols, actions, or other measures set forth in the applicant's permit application submitted pursuant to section 12 of P.L.2019, c.153 (C.24:6I-7.2), did maintain compliance with the terms, conditions, or restrictions of a conditional permit issued to the applicant, if applicable, and is otherwise in compliance with the requirements of P.L.2009, c.307 (C.24:6I-1 et al.). </w:t>
      </w:r>
    </w:p>
    <w:p w:rsidR="00A20CD0" w:rsidRDefault="00AF399F" w:rsidP="00A20CD0">
      <w:r>
        <w:tab/>
        <w:t>d.</w:t>
      </w:r>
      <w:r>
        <w:tab/>
      </w:r>
      <w:r w:rsidR="00A20CD0">
        <w:t>(1)</w:t>
      </w:r>
      <w:r>
        <w:t xml:space="preserve"> </w:t>
      </w:r>
      <w:r w:rsidR="00A20CD0">
        <w:t xml:space="preserve"> The commission shall ensure that at least one third of the total permits issued for each type of medical cannabis permit are conditional permits, which one-third figure shall include any conditional permit issued to an applicant which is subsequently converted by the commission into a full permit pursuant to paragraph (4) of this subsection and any conditional permit, including a converted permit, issued to a microbusiness pursuant to subsection e. of this section.  The requirements of this subsection shall not apply to permits issued to clinical registrants or to permits issued to the three alternative treatment centers issued a permit pursuant to subsection a. of this section that are expressly exempt from the provisions of subsubparagraph (i) of subparagraph (a) of paragraph (2) of subsection a. of section 7 of P.L.2009, c.307 (C.24:6I-7).</w:t>
      </w:r>
    </w:p>
    <w:p w:rsidR="00A20CD0" w:rsidRDefault="00A20CD0" w:rsidP="00A20CD0">
      <w:r>
        <w:tab/>
        <w:t>(2)</w:t>
      </w:r>
      <w:r>
        <w:tab/>
        <w:t xml:space="preserve">An application for a conditional permit shall include: </w:t>
      </w:r>
    </w:p>
    <w:p w:rsidR="00A20CD0" w:rsidRDefault="00A20CD0" w:rsidP="00A20CD0">
      <w:r>
        <w:tab/>
        <w:t>(a)</w:t>
      </w:r>
      <w:r>
        <w:tab/>
        <w:t>documentation that the applicant entity includes at least one significantly involved person who has resided in this State for at least two years as of the date of the application;</w:t>
      </w:r>
    </w:p>
    <w:p w:rsidR="00A20CD0" w:rsidRDefault="00A20CD0" w:rsidP="00A20CD0">
      <w:r>
        <w:lastRenderedPageBreak/>
        <w:tab/>
        <w:t>(b)</w:t>
      </w:r>
      <w:r>
        <w:tab/>
        <w:t>a list of all owners, officers, directors, and employees of, and significantly involved persons in, the proposed medical cannabis entity, including their names, addresses, dates of birth, resumes, and a photocopy of their driver's licenses or other government-issued form of identification;</w:t>
      </w:r>
    </w:p>
    <w:p w:rsidR="00A20CD0" w:rsidRDefault="00A20CD0" w:rsidP="00A20CD0">
      <w:r>
        <w:tab/>
        <w:t>(c)</w:t>
      </w:r>
      <w:r>
        <w:tab/>
        <w:t>a criminal history record background check completed pursuant to subsection d. of section 7 of P.L.2009, c.307 (C.24:6I-7) for each owner, officer, director, and employee of, and each significantly involved person in, the proposed medical cannabis entity, provided that a conditional permit may be issued pending the results of a criminal history record background check;</w:t>
      </w:r>
    </w:p>
    <w:p w:rsidR="00A20CD0" w:rsidRDefault="00A20CD0" w:rsidP="00A20CD0">
      <w:r>
        <w:tab/>
        <w:t>(d)</w:t>
      </w:r>
      <w:r>
        <w:tab/>
        <w:t>documentation that each significantly involved person in the proposed medical cannabis entity has, for the immediately preceding taxable year, an adjusted gross income of no more than $200,000 or no more than $400,000 if filing jointly with another;</w:t>
      </w:r>
    </w:p>
    <w:p w:rsidR="00A20CD0" w:rsidRDefault="00A20CD0" w:rsidP="00A20CD0">
      <w:r>
        <w:tab/>
        <w:t>(e)</w:t>
      </w:r>
      <w:r>
        <w:tab/>
        <w:t>a certification that each significantly involved person in the proposed medical cannabis entity does not have any financial interest in an entity applying for any other medical cannabis permit, or in an entity that currently holds a permit issued pursuant to section 7 of P.L.2009, c.307 (C.24:6I-7);</w:t>
      </w:r>
    </w:p>
    <w:p w:rsidR="00A20CD0" w:rsidRDefault="00A20CD0" w:rsidP="00A20CD0">
      <w:r>
        <w:tab/>
        <w:t>(f)</w:t>
      </w:r>
      <w:r>
        <w:tab/>
        <w:t>the federal and State tax identification numbers for the proposed medical cannabis entity, and proof of business registration with the Division of Revenue in the Department of the Treasury;</w:t>
      </w:r>
    </w:p>
    <w:p w:rsidR="00A20CD0" w:rsidRDefault="00A20CD0" w:rsidP="00A20CD0">
      <w:r>
        <w:tab/>
        <w:t>(g)</w:t>
      </w:r>
      <w:r>
        <w:tab/>
        <w:t>information about the proposed medical cannabis entity, including its legal name, any registered alternate name under which it may conduct business, and a copy of its articles of organization and bylaws;</w:t>
      </w:r>
    </w:p>
    <w:p w:rsidR="00A20CD0" w:rsidRDefault="00A20CD0" w:rsidP="00A20CD0">
      <w:r>
        <w:tab/>
        <w:t>(h)</w:t>
      </w:r>
      <w:r>
        <w:tab/>
        <w:t>the business plan and management operation profile for the proposed medical cannabis entity;</w:t>
      </w:r>
    </w:p>
    <w:p w:rsidR="00A20CD0" w:rsidRDefault="00A20CD0" w:rsidP="00A20CD0">
      <w:r>
        <w:tab/>
        <w:t>(i)</w:t>
      </w:r>
      <w:r>
        <w:tab/>
        <w:t>the plan by which the applicant intends to obtain appropriate liability insurance coverage for the proposed medical cannabis entity; and</w:t>
      </w:r>
    </w:p>
    <w:p w:rsidR="00A20CD0" w:rsidRDefault="00A20CD0" w:rsidP="00A20CD0">
      <w:r>
        <w:tab/>
        <w:t>(j)</w:t>
      </w:r>
      <w:r>
        <w:tab/>
        <w:t>any other requirements established by the commission pursuant to regulation.</w:t>
      </w:r>
    </w:p>
    <w:p w:rsidR="00A20CD0" w:rsidRDefault="00A20CD0" w:rsidP="00A20CD0">
      <w:r>
        <w:tab/>
        <w:t>(3)</w:t>
      </w:r>
      <w:r>
        <w:tab/>
        <w:t xml:space="preserve">The commission shall make a determination on an application for a conditional permit within 30 days after the date the application is received.  A determination made pursuant to this paragraph may include a determination that the commission requires more time to adequately review the application.  The commission shall approve a permit application that meets the requirements of this subsection unless the commission finds by clear and convincing evidence that the applicant would be manifestly unsuitable to perform the activities authorized for the permit sought by the applicant.  The commission shall deny a conditional permit to any applicant who fails to provide information, documentation, and assurances as required by this subsection; who fails to reveal any fact material to qualification; or who supplies information that is untrue or misleading as to a </w:t>
      </w:r>
      <w:r>
        <w:lastRenderedPageBreak/>
        <w:t>material fact pertaining to the qualification criteria for issuance of a conditional permit.  If the application is denied, the commission shall notify the applicant in writing of the specific reason for its denial and provide the applicant with the opportunity for a hearing in accordance with the "Administrative Procedure Act," P.L.1968, c.410 (C.52:14B-1 et seq.).</w:t>
      </w:r>
    </w:p>
    <w:p w:rsidR="00A20CD0" w:rsidRDefault="00A20CD0" w:rsidP="00A20CD0">
      <w:r>
        <w:tab/>
        <w:t>(4)</w:t>
      </w:r>
      <w:r>
        <w:tab/>
        <w:t>The commission shall furnish to each entity issued a conditional permit a list of the requirements that the entity will be required to comply with within 120 days after issuance of the conditional permit.  If the commission subsequently determines that, during the 120-day period, the conditional permit holder is in compliance with all applicable conditions and is implementing the plans, procedures, protocols, actions, or other measures set forth in its application, the commission shall convert the conditional permit into a full permit, which will expire one year from its date of issuance and be subject to annual renewal; if the commission determines that the conditional permit holder is not in compliance with all applicable conditions or not implementing the plans, procedures, protocols, actions, or other measures set forth in its application, the conditional permit shall automatically expire at the end of the 120-day period, or, at the discretion of the commission, may be revoked prior to the end of the 120-day period.</w:t>
      </w:r>
    </w:p>
    <w:p w:rsidR="00A20CD0" w:rsidRDefault="00A20CD0" w:rsidP="00A20CD0">
      <w:r>
        <w:tab/>
        <w:t>(5)</w:t>
      </w:r>
      <w:r>
        <w:tab/>
        <w:t>A conditional permit issued pursuant this subsection may not be sold or transferred.</w:t>
      </w:r>
    </w:p>
    <w:p w:rsidR="00A20CD0" w:rsidRDefault="00AF399F" w:rsidP="00A20CD0">
      <w:r>
        <w:tab/>
        <w:t>e.</w:t>
      </w:r>
      <w:r>
        <w:tab/>
      </w:r>
      <w:r w:rsidR="00A20CD0">
        <w:t>(1)</w:t>
      </w:r>
      <w:r>
        <w:t xml:space="preserve"> </w:t>
      </w:r>
      <w:r w:rsidR="00A20CD0">
        <w:t xml:space="preserve"> The commission shall ensure that at least 10 percent of the total permits issued for each medical cannabis permit type, other than a clinical registrant permit, are designated for and only issued to microbusinesses, and that at least 25 percent of the total permits issued be issued to microbusinesses.  A microbusiness may be issued a full annual permit pursuant to section 7 of P.L.2009, c.307 (C.24:6I-7) or a conditional permit pursuant to subsection d. of this section.  The maximum fee assessed by the commission for issuance or renewal of a permit issued to a microbusiness shall be no more than half the fee applicable to a permit of the same type issued to a person or entity that is not a microbusiness.  A permit issued to a microbusiness shall be valid for one year and may be renewed annually.</w:t>
      </w:r>
    </w:p>
    <w:p w:rsidR="00A20CD0" w:rsidRDefault="00A20CD0" w:rsidP="00A20CD0">
      <w:r>
        <w:tab/>
        <w:t>(2)</w:t>
      </w:r>
      <w:r>
        <w:tab/>
        <w:t>A microbusiness shall meet the following requirements:</w:t>
      </w:r>
    </w:p>
    <w:p w:rsidR="00A20CD0" w:rsidRDefault="00A20CD0" w:rsidP="00A20CD0">
      <w:r>
        <w:tab/>
        <w:t>(a)</w:t>
      </w:r>
      <w:r>
        <w:tab/>
        <w:t>100 percent of the ownership interest in the microbusiness shall be held by current New Jersey residents who have resided in the State for at least the past two consecutive years;</w:t>
      </w:r>
    </w:p>
    <w:p w:rsidR="00A20CD0" w:rsidRDefault="00A20CD0" w:rsidP="00A20CD0">
      <w:r>
        <w:tab/>
        <w:t>(b)</w:t>
      </w:r>
      <w:r>
        <w:tab/>
        <w:t>at least 51 percent of the owners, directors, officers, and employees of the microbusiness shall be residents of the municipality in which the microbusiness is or will be located, or a municipality bordering the municipality in which the microbusiness is or will be located;</w:t>
      </w:r>
    </w:p>
    <w:p w:rsidR="00A20CD0" w:rsidRDefault="00A20CD0" w:rsidP="00A20CD0">
      <w:r>
        <w:lastRenderedPageBreak/>
        <w:tab/>
        <w:t>(c)</w:t>
      </w:r>
      <w:r>
        <w:tab/>
        <w:t>the microbusiness shall employ no more than 10 employees at one time, inclusive of any owners, officers, and directors of the microbusiness;</w:t>
      </w:r>
    </w:p>
    <w:p w:rsidR="00A20CD0" w:rsidRDefault="00A20CD0" w:rsidP="00A20CD0">
      <w:r>
        <w:tab/>
        <w:t>(d)</w:t>
      </w:r>
      <w:r>
        <w:tab/>
        <w:t xml:space="preserve">the microbusiness shall not exceed the following size and capacity restrictions: </w:t>
      </w:r>
    </w:p>
    <w:p w:rsidR="00A20CD0" w:rsidRDefault="00A20CD0" w:rsidP="00A20CD0">
      <w:r>
        <w:tab/>
        <w:t>(i)</w:t>
      </w:r>
      <w:r>
        <w:tab/>
        <w:t xml:space="preserve">the entire microbusiness facility shall occupy an area of no more than 2,500 square feet; </w:t>
      </w:r>
    </w:p>
    <w:p w:rsidR="00A20CD0" w:rsidRDefault="00A20CD0" w:rsidP="00A20CD0">
      <w:r>
        <w:tab/>
        <w:t>(ii)</w:t>
      </w:r>
      <w:r>
        <w:tab/>
        <w:t>in the case of a microbusiness that is a medical cannabis cultivator, the total medical cannabis grow area shall not exceed 2,500 square feet, measured on a horizontal plane, shall grow no higher than 24 feet above that plane, and shall possess a total of no more than 1,000 plants, including mature and immature medical cannabis plants, but not including seedlings;</w:t>
      </w:r>
    </w:p>
    <w:p w:rsidR="00A20CD0" w:rsidRDefault="00A20CD0" w:rsidP="00A20CD0">
      <w:r>
        <w:tab/>
        <w:t>(iii) in the case of a microbusiness that is a medical cannabis manufacturer, the manufacturer shall acquire and process no more than 1,000 pounds of medical cannabis in dried form each month; and</w:t>
      </w:r>
    </w:p>
    <w:p w:rsidR="00A20CD0" w:rsidRDefault="00A20CD0" w:rsidP="00A20CD0">
      <w:r>
        <w:tab/>
        <w:t>(iv)</w:t>
      </w:r>
      <w:r>
        <w:tab/>
        <w:t>in the case of a microbusiness that is a medical cannabis dispensary, the dispensary shall acquire no more than 1,000 pounds of medical cannabis in dried form, or the equivalent amount in any other form, or any combination thereof, for dispensing to or on behalf of registered qualifying patients each month; and</w:t>
      </w:r>
    </w:p>
    <w:p w:rsidR="00A20CD0" w:rsidRDefault="00A20CD0" w:rsidP="00A20CD0">
      <w:r>
        <w:tab/>
        <w:t>(e)</w:t>
      </w:r>
      <w:r>
        <w:tab/>
        <w:t xml:space="preserve">the microbusiness shall comply with such other requirements as may be established by the commission by regulation. </w:t>
      </w:r>
    </w:p>
    <w:p w:rsidR="00A20CD0" w:rsidRDefault="00A20CD0" w:rsidP="00A20CD0">
      <w:r>
        <w:tab/>
        <w:t>(3)</w:t>
      </w:r>
      <w:r>
        <w:tab/>
        <w:t>The requirements of this subsection shall not apply to permits issued pursuant to an application submitted pursuant to a request for applications published in the New Jersey Register prior to the effective date of P.L.2019, c.153 (C.24:6I-5.1 et al.).</w:t>
      </w:r>
    </w:p>
    <w:p w:rsidR="00A20CD0" w:rsidRPr="00E471E3" w:rsidRDefault="00A20CD0" w:rsidP="00A20CD0">
      <w:pPr>
        <w:rPr>
          <w:rFonts w:ascii="Albertus Extra Bold" w:hAnsi="Albertus Extra Bold"/>
          <w:b/>
          <w:vertAlign w:val="superscript"/>
        </w:rPr>
      </w:pPr>
      <w:r>
        <w:tab/>
      </w:r>
      <w:r>
        <w:rPr>
          <w:u w:val="single"/>
        </w:rPr>
        <w:t>f.</w:t>
      </w:r>
      <w:r>
        <w:rPr>
          <w:u w:val="single"/>
        </w:rPr>
        <w:tab/>
        <w:t xml:space="preserve">The commission shall have the authority to review any services agreement submitted pursuant to subsection l. of section 12 of P.L.2019, c.153 (C.24:6I-7.2, and any agreement established </w:t>
      </w:r>
      <w:r w:rsidRPr="00BA7A04">
        <w:rPr>
          <w:u w:val="single"/>
        </w:rPr>
        <w:t>under subsubparagraph</w:t>
      </w:r>
      <w:r>
        <w:rPr>
          <w:u w:val="single"/>
        </w:rPr>
        <w:t xml:space="preserve"> (ii) of subparagraph (d) of paragraph 2 of subsection a. of section 7 of P.L.2009, c.307 (C.24:6I-7) to provide significant </w:t>
      </w:r>
      <w:r w:rsidRPr="00BA7A04">
        <w:rPr>
          <w:u w:val="single"/>
        </w:rPr>
        <w:t>financial or technical assistance or the significant use of intellectual property</w:t>
      </w:r>
      <w:r>
        <w:rPr>
          <w:u w:val="single"/>
        </w:rPr>
        <w:t xml:space="preserve"> to an applicant, to determine whether the terms of the agreement, including interest rates, returns, and fees, are commercially reasonable and consistent with the fair market value for the terms generally applicable to agreements of a comparable nature.  In the event the commission determines the terms of an agreement are not commercially reasonable or consistent with the fair market value generally applicable to the services to be provided under the agreement, the commission shall have the authority to withhold approval of the permit application until the parties renegotiate a new agreement that, as determined by the commission, is commercially reasonable and consistent with the fair market value for the terms generally applicable to agreements of a comparable nature.  The parties to the agreement may request that the commission provide guidance as to what terms it would find to </w:t>
      </w:r>
      <w:r>
        <w:rPr>
          <w:u w:val="single"/>
        </w:rPr>
        <w:lastRenderedPageBreak/>
        <w:t>be commercially reasonable and consistent with the fair market value generally applicable to agreements of a comparable nature.  Nothing in this subsection shall be construed to require the commission to award a permit to an applicant if the commission determines the applicant does not otherwise meet the requirements for issuance of the permit.</w:t>
      </w:r>
      <w:r>
        <w:rPr>
          <w:rFonts w:ascii="Albertus Extra Bold" w:hAnsi="Albertus Extra Bold"/>
          <w:b/>
          <w:vertAlign w:val="superscript"/>
        </w:rPr>
        <w:t>1</w:t>
      </w:r>
    </w:p>
    <w:p w:rsidR="00A20CD0" w:rsidRDefault="00A20CD0" w:rsidP="00A20CD0">
      <w:r>
        <w:t>(cf: P.L.2019, c.153, s.11)</w:t>
      </w:r>
    </w:p>
    <w:p w:rsidR="00A20CD0" w:rsidRDefault="00A20CD0" w:rsidP="00A20CD0"/>
    <w:p w:rsidR="00A20CD0" w:rsidRDefault="00A20CD0" w:rsidP="00A20CD0">
      <w:r>
        <w:tab/>
      </w:r>
      <w:r>
        <w:rPr>
          <w:rFonts w:ascii="Albertus Extra Bold" w:hAnsi="Albertus Extra Bold"/>
          <w:b/>
          <w:vertAlign w:val="superscript"/>
        </w:rPr>
        <w:t>1</w:t>
      </w:r>
      <w:r>
        <w:t>3.</w:t>
      </w:r>
      <w:r>
        <w:tab/>
        <w:t>Section 12 of P.L.2019, c.153 (24:6I-7.2) is amended to read as follows:</w:t>
      </w:r>
    </w:p>
    <w:p w:rsidR="00A20CD0" w:rsidRDefault="00A20CD0" w:rsidP="00A20CD0">
      <w:r>
        <w:tab/>
        <w:t>12.</w:t>
      </w:r>
      <w:r>
        <w:tab/>
        <w:t>a.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A20CD0" w:rsidRDefault="00A20CD0" w:rsidP="00A20CD0">
      <w:r>
        <w:tab/>
        <w:t>b.</w:t>
      </w:r>
      <w:r>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A20CD0" w:rsidRDefault="00A20CD0" w:rsidP="00A20CD0">
      <w:r>
        <w:tab/>
        <w:t>c.</w:t>
      </w:r>
      <w:r>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A20CD0" w:rsidRDefault="00A20CD0" w:rsidP="00A20CD0">
      <w:r>
        <w:tab/>
        <w:t>(1)</w:t>
      </w:r>
      <w:r>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A20CD0" w:rsidRDefault="00A20CD0" w:rsidP="00A20CD0">
      <w:r>
        <w:tab/>
        <w:t>(a)</w:t>
      </w:r>
      <w:r>
        <w:tab/>
        <w:t>State-authorized cultivation of medical cannabis;</w:t>
      </w:r>
    </w:p>
    <w:p w:rsidR="00A20CD0" w:rsidRDefault="00A20CD0" w:rsidP="00A20CD0">
      <w:r>
        <w:tab/>
        <w:t>(b)</w:t>
      </w:r>
      <w:r>
        <w:tab/>
        <w:t>conventional horticulture or agriculture, familiarity with good agricultural practices, and any relevant certifications or degrees;</w:t>
      </w:r>
    </w:p>
    <w:p w:rsidR="00A20CD0" w:rsidRDefault="00A20CD0" w:rsidP="00A20CD0">
      <w:r>
        <w:tab/>
        <w:t>(c)</w:t>
      </w:r>
      <w:r>
        <w:tab/>
        <w:t>quality control and quality assurance;</w:t>
      </w:r>
    </w:p>
    <w:p w:rsidR="00A20CD0" w:rsidRDefault="00A20CD0" w:rsidP="00A20CD0">
      <w:r>
        <w:tab/>
        <w:t>(d)</w:t>
      </w:r>
      <w:r>
        <w:tab/>
        <w:t>recall plans;</w:t>
      </w:r>
    </w:p>
    <w:p w:rsidR="00A20CD0" w:rsidRDefault="00A20CD0" w:rsidP="00A20CD0">
      <w:r>
        <w:lastRenderedPageBreak/>
        <w:tab/>
        <w:t>(e)</w:t>
      </w:r>
      <w:r>
        <w:tab/>
        <w:t>packaging and labeling;</w:t>
      </w:r>
    </w:p>
    <w:p w:rsidR="00A20CD0" w:rsidRDefault="00A20CD0" w:rsidP="00A20CD0">
      <w:r>
        <w:tab/>
        <w:t>(f)</w:t>
      </w:r>
      <w:r>
        <w:tab/>
        <w:t>inventory control and tracking software or systems for the production of medical cannabis;</w:t>
      </w:r>
    </w:p>
    <w:p w:rsidR="00A20CD0" w:rsidRDefault="00A20CD0" w:rsidP="00A20CD0">
      <w:r>
        <w:tab/>
        <w:t>(g)</w:t>
      </w:r>
      <w:r>
        <w:tab/>
        <w:t>analytical chemistry and testing of medical cannabis;</w:t>
      </w:r>
    </w:p>
    <w:p w:rsidR="00A20CD0" w:rsidRDefault="00A20CD0" w:rsidP="00A20CD0">
      <w:r>
        <w:tab/>
        <w:t>(h)</w:t>
      </w:r>
      <w:r>
        <w:tab/>
        <w:t>water management practices;</w:t>
      </w:r>
    </w:p>
    <w:p w:rsidR="00A20CD0" w:rsidRDefault="00A20CD0" w:rsidP="00A20CD0">
      <w:r>
        <w:tab/>
        <w:t>(i)</w:t>
      </w:r>
      <w:r>
        <w:tab/>
        <w:t>odor mitigation practices;</w:t>
      </w:r>
    </w:p>
    <w:p w:rsidR="00A20CD0" w:rsidRDefault="00A20CD0" w:rsidP="00A20CD0">
      <w:r>
        <w:tab/>
        <w:t>(j)</w:t>
      </w:r>
      <w:r>
        <w:tab/>
        <w:t>onsite and offsite recordkeeping;</w:t>
      </w:r>
    </w:p>
    <w:p w:rsidR="00A20CD0" w:rsidRDefault="00A20CD0" w:rsidP="00A20CD0">
      <w:r>
        <w:tab/>
        <w:t>(k)</w:t>
      </w:r>
      <w:r>
        <w:tab/>
        <w:t>strain variety and plant genetics;</w:t>
      </w:r>
    </w:p>
    <w:p w:rsidR="00A20CD0" w:rsidRDefault="00A20CD0" w:rsidP="00A20CD0">
      <w:r>
        <w:tab/>
        <w:t>(l)</w:t>
      </w:r>
      <w:r>
        <w:tab/>
        <w:t xml:space="preserve">pest control and disease management practices, including plans for the use of pesticides, nutrients, and additives; </w:t>
      </w:r>
    </w:p>
    <w:p w:rsidR="00A20CD0" w:rsidRDefault="00A20CD0" w:rsidP="00A20CD0">
      <w:r>
        <w:tab/>
        <w:t>(m)</w:t>
      </w:r>
      <w:r>
        <w:tab/>
        <w:t>waste disposal plans; and</w:t>
      </w:r>
    </w:p>
    <w:p w:rsidR="00A20CD0" w:rsidRDefault="00A20CD0" w:rsidP="00A20CD0">
      <w:r>
        <w:tab/>
        <w:t>(n)</w:t>
      </w:r>
      <w:r>
        <w:tab/>
        <w:t>compliance with applicable laws and regulations.</w:t>
      </w:r>
    </w:p>
    <w:p w:rsidR="00A20CD0" w:rsidRDefault="00A20CD0" w:rsidP="00A20CD0">
      <w:r>
        <w:tab/>
        <w:t>(2)</w:t>
      </w:r>
      <w:r>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A20CD0" w:rsidRDefault="00A20CD0" w:rsidP="00A20CD0">
      <w:r>
        <w:tab/>
        <w:t>(a)</w:t>
      </w:r>
      <w:r>
        <w:tab/>
        <w:t>State-authorized manufacture, production, and creation of cannabis products using appropriate extraction methods, including intended use and sourcing of extraction equipment and associated solvents or intended methods and equipment for non-solvent extraction;</w:t>
      </w:r>
    </w:p>
    <w:p w:rsidR="00A20CD0" w:rsidRDefault="00A20CD0" w:rsidP="00A20CD0">
      <w:r>
        <w:tab/>
        <w:t>(b)</w:t>
      </w:r>
      <w:r>
        <w:tab/>
        <w:t>pharmaceutical manufacturing, good manufacturing practices, and good laboratory practices;</w:t>
      </w:r>
    </w:p>
    <w:p w:rsidR="00A20CD0" w:rsidRDefault="00A20CD0" w:rsidP="00A20CD0">
      <w:r>
        <w:tab/>
        <w:t>(c)</w:t>
      </w:r>
      <w:r>
        <w:tab/>
        <w:t>quality control and quality assurance;</w:t>
      </w:r>
    </w:p>
    <w:p w:rsidR="00A20CD0" w:rsidRDefault="00A20CD0" w:rsidP="00A20CD0">
      <w:r>
        <w:tab/>
        <w:t>(d)</w:t>
      </w:r>
      <w:r>
        <w:tab/>
        <w:t>recall plans;</w:t>
      </w:r>
    </w:p>
    <w:p w:rsidR="00A20CD0" w:rsidRDefault="00A20CD0" w:rsidP="00A20CD0">
      <w:r>
        <w:tab/>
        <w:t>(e)</w:t>
      </w:r>
      <w:r>
        <w:tab/>
        <w:t>packaging and labeling;</w:t>
      </w:r>
    </w:p>
    <w:p w:rsidR="00A20CD0" w:rsidRDefault="00A20CD0" w:rsidP="00A20CD0">
      <w:r>
        <w:tab/>
        <w:t>(f)</w:t>
      </w:r>
      <w:r>
        <w:tab/>
        <w:t>inventory control and tracking software or systems for the production of medical cannabis;</w:t>
      </w:r>
    </w:p>
    <w:p w:rsidR="00A20CD0" w:rsidRDefault="00A20CD0" w:rsidP="00A20CD0">
      <w:r>
        <w:tab/>
        <w:t>(g)</w:t>
      </w:r>
      <w:r>
        <w:tab/>
        <w:t>analytical chemistry and testing of medical cannabis and medical cannabis products and formulations;</w:t>
      </w:r>
    </w:p>
    <w:p w:rsidR="00A20CD0" w:rsidRDefault="00A20CD0" w:rsidP="00A20CD0">
      <w:r>
        <w:tab/>
        <w:t>(h)</w:t>
      </w:r>
      <w:r>
        <w:tab/>
        <w:t>water management practices;</w:t>
      </w:r>
    </w:p>
    <w:p w:rsidR="00A20CD0" w:rsidRDefault="00A20CD0" w:rsidP="00A20CD0">
      <w:r>
        <w:tab/>
        <w:t>(i)</w:t>
      </w:r>
      <w:r>
        <w:tab/>
        <w:t>odor mitigation practices;</w:t>
      </w:r>
    </w:p>
    <w:p w:rsidR="00A20CD0" w:rsidRDefault="00A20CD0" w:rsidP="00A20CD0">
      <w:r>
        <w:tab/>
        <w:t>(j)</w:t>
      </w:r>
      <w:r>
        <w:tab/>
        <w:t>onsite and offsite recordkeeping;</w:t>
      </w:r>
    </w:p>
    <w:p w:rsidR="00A20CD0" w:rsidRDefault="00A20CD0" w:rsidP="00A20CD0">
      <w:r>
        <w:tab/>
        <w:t>(k)</w:t>
      </w:r>
      <w:r>
        <w:tab/>
        <w:t>a list of product formulations or products proposed to be manufactured with estimated cannabinoid profiles, if known, including varieties with high cannabidiol content;</w:t>
      </w:r>
    </w:p>
    <w:p w:rsidR="00A20CD0" w:rsidRDefault="00A20CD0" w:rsidP="00A20CD0">
      <w:r>
        <w:tab/>
        <w:t>(l)</w:t>
      </w:r>
      <w:r>
        <w:tab/>
        <w:t xml:space="preserve">intended use and sourcing of all non-cannabis ingredients used in the manufacture, production, and creation of cannabis products, including methods to verify or ensure the safety and integrity of those ingredients and their potential to be or contain allergens; </w:t>
      </w:r>
    </w:p>
    <w:p w:rsidR="00A20CD0" w:rsidRDefault="00A20CD0" w:rsidP="00A20CD0">
      <w:r>
        <w:tab/>
        <w:t>(m)</w:t>
      </w:r>
      <w:r>
        <w:tab/>
        <w:t>waste disposal plans; and</w:t>
      </w:r>
    </w:p>
    <w:p w:rsidR="00A20CD0" w:rsidRDefault="00A20CD0" w:rsidP="00A20CD0">
      <w:r>
        <w:tab/>
        <w:t>(n)</w:t>
      </w:r>
      <w:r>
        <w:tab/>
        <w:t>compliance with applicable laws and regulations.</w:t>
      </w:r>
    </w:p>
    <w:p w:rsidR="00A20CD0" w:rsidRDefault="00A20CD0" w:rsidP="00A20CD0">
      <w:r>
        <w:tab/>
        <w:t>(3)</w:t>
      </w:r>
      <w:r>
        <w:tab/>
        <w:t>In the case of an applicant for a medical cannabis dispensary permit, the operating plan summary shall include a written description concerning the applicant's qualifications for, experience in, and knowledge of each of the following topics:</w:t>
      </w:r>
    </w:p>
    <w:p w:rsidR="00A20CD0" w:rsidRDefault="00A20CD0" w:rsidP="00A20CD0">
      <w:r>
        <w:lastRenderedPageBreak/>
        <w:tab/>
        <w:t>(a)</w:t>
      </w:r>
      <w:r>
        <w:tab/>
        <w:t>State-authorized dispensation of medical cannabis to qualifying patients;</w:t>
      </w:r>
    </w:p>
    <w:p w:rsidR="00A20CD0" w:rsidRDefault="00A20CD0" w:rsidP="00A20CD0">
      <w:r>
        <w:tab/>
        <w:t>(b)</w:t>
      </w:r>
      <w:r>
        <w:tab/>
        <w:t>healthcare, medicine, and treatment of patients with qualifying medical conditions;</w:t>
      </w:r>
    </w:p>
    <w:p w:rsidR="00A20CD0" w:rsidRDefault="00A20CD0" w:rsidP="00A20CD0">
      <w:r>
        <w:tab/>
        <w:t>(c)</w:t>
      </w:r>
      <w:r>
        <w:tab/>
        <w:t>medical cannabis product evaluation procedures;</w:t>
      </w:r>
    </w:p>
    <w:p w:rsidR="00A20CD0" w:rsidRDefault="00A20CD0" w:rsidP="00A20CD0">
      <w:r>
        <w:tab/>
        <w:t>(d)</w:t>
      </w:r>
      <w:r>
        <w:tab/>
        <w:t>recall plans;</w:t>
      </w:r>
    </w:p>
    <w:p w:rsidR="00A20CD0" w:rsidRDefault="00A20CD0" w:rsidP="00A20CD0">
      <w:r>
        <w:tab/>
        <w:t>(e)</w:t>
      </w:r>
      <w:r>
        <w:tab/>
        <w:t>packaging and labeling;</w:t>
      </w:r>
    </w:p>
    <w:p w:rsidR="00A20CD0" w:rsidRDefault="00A20CD0" w:rsidP="00A20CD0">
      <w:r>
        <w:tab/>
        <w:t>(f)</w:t>
      </w:r>
      <w:r>
        <w:tab/>
        <w:t>inventory control and point-of-sale software or systems for the sale of medical cannabis;</w:t>
      </w:r>
    </w:p>
    <w:p w:rsidR="00A20CD0" w:rsidRDefault="00A20CD0" w:rsidP="00A20CD0">
      <w:r>
        <w:tab/>
        <w:t>(g)</w:t>
      </w:r>
      <w:r>
        <w:tab/>
        <w:t>patient counseling procedures;</w:t>
      </w:r>
    </w:p>
    <w:p w:rsidR="00A20CD0" w:rsidRDefault="00A20CD0" w:rsidP="00A20CD0">
      <w:r>
        <w:tab/>
        <w:t>(h)</w:t>
      </w:r>
      <w:r>
        <w:tab/>
        <w:t>the routes of administration, strains, varieties, and cannabinoid profiles of medical cannabis and medical cannabis products;</w:t>
      </w:r>
    </w:p>
    <w:p w:rsidR="00A20CD0" w:rsidRDefault="00A20CD0" w:rsidP="00A20CD0">
      <w:r>
        <w:tab/>
        <w:t>(i)</w:t>
      </w:r>
      <w:r>
        <w:tab/>
        <w:t>odor mitigation practices;</w:t>
      </w:r>
    </w:p>
    <w:p w:rsidR="00A20CD0" w:rsidRDefault="00A20CD0" w:rsidP="00A20CD0">
      <w:r>
        <w:tab/>
        <w:t>(j)</w:t>
      </w:r>
      <w:r>
        <w:tab/>
        <w:t>onsite and offsite recordkeeping;</w:t>
      </w:r>
    </w:p>
    <w:p w:rsidR="00A20CD0" w:rsidRDefault="00A20CD0" w:rsidP="00A20CD0">
      <w:r>
        <w:tab/>
        <w:t>(k)</w:t>
      </w:r>
      <w:r>
        <w:tab/>
        <w:t xml:space="preserve">compliance with State and federal patient privacy rules; </w:t>
      </w:r>
    </w:p>
    <w:p w:rsidR="00A20CD0" w:rsidRDefault="00A20CD0" w:rsidP="00A20CD0">
      <w:r>
        <w:tab/>
        <w:t>(l)</w:t>
      </w:r>
      <w:r>
        <w:tab/>
        <w:t>waste disposal plans; and</w:t>
      </w:r>
    </w:p>
    <w:p w:rsidR="00A20CD0" w:rsidRDefault="00A20CD0" w:rsidP="00A20CD0">
      <w:r>
        <w:tab/>
        <w:t>(m)</w:t>
      </w:r>
      <w:r>
        <w:tab/>
        <w:t xml:space="preserve">compliance with applicable laws and regulations. </w:t>
      </w:r>
    </w:p>
    <w:p w:rsidR="00A20CD0" w:rsidRDefault="00A20CD0" w:rsidP="00A20CD0">
      <w:r>
        <w:tab/>
        <w:t xml:space="preserve"> d.</w:t>
      </w:r>
      <w:r>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A20CD0" w:rsidRDefault="00A20CD0" w:rsidP="00A20CD0">
      <w:r>
        <w:tab/>
        <w:t>(1)</w:t>
      </w:r>
      <w:r>
        <w:tab/>
        <w:t>The applicant's environmental impact plan.</w:t>
      </w:r>
    </w:p>
    <w:p w:rsidR="00A20CD0" w:rsidRDefault="00A20CD0" w:rsidP="00A20CD0">
      <w:r>
        <w:tab/>
        <w:t>(2)</w:t>
      </w:r>
      <w:r>
        <w:tab/>
        <w:t>A summary of the applicant's safety and security plans and procedures, which shall include descriptions of the following:</w:t>
      </w:r>
    </w:p>
    <w:p w:rsidR="00A20CD0" w:rsidRDefault="00A20CD0" w:rsidP="00A20CD0">
      <w:r>
        <w:tab/>
        <w:t>(a)</w:t>
      </w:r>
      <w:r>
        <w:tab/>
        <w:t>plans for the use of security personnel, including contractors;</w:t>
      </w:r>
    </w:p>
    <w:p w:rsidR="00A20CD0" w:rsidRDefault="00A20CD0" w:rsidP="00A20CD0">
      <w:r>
        <w:tab/>
        <w:t>(b)</w:t>
      </w:r>
      <w:r>
        <w:tab/>
        <w:t>the experience or qualifications of security personnel and proposed contractors;</w:t>
      </w:r>
    </w:p>
    <w:p w:rsidR="00A20CD0" w:rsidRDefault="00A20CD0" w:rsidP="00A20CD0">
      <w:r>
        <w:tab/>
        <w:t>(c)</w:t>
      </w:r>
      <w:r>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A20CD0" w:rsidRDefault="00A20CD0" w:rsidP="00A20CD0">
      <w:r>
        <w:tab/>
        <w:t>(d)</w:t>
      </w:r>
      <w:r>
        <w:tab/>
        <w:t>plans for the storage of medical cannabis and medical cannabis products, including any safes, vaults, and climate control systems that will be utilized for this purpose;</w:t>
      </w:r>
    </w:p>
    <w:p w:rsidR="00A20CD0" w:rsidRDefault="00A20CD0" w:rsidP="00A20CD0">
      <w:r>
        <w:tab/>
        <w:t>(e)</w:t>
      </w:r>
      <w:r>
        <w:tab/>
        <w:t>a diversion prevention plan;</w:t>
      </w:r>
    </w:p>
    <w:p w:rsidR="00A20CD0" w:rsidRDefault="00A20CD0" w:rsidP="00A20CD0">
      <w:r>
        <w:tab/>
        <w:t>(f)</w:t>
      </w:r>
      <w:r>
        <w:tab/>
        <w:t>an emergency management plan;</w:t>
      </w:r>
    </w:p>
    <w:p w:rsidR="00A20CD0" w:rsidRDefault="00A20CD0" w:rsidP="00A20CD0">
      <w:r>
        <w:tab/>
        <w:t>(g)</w:t>
      </w:r>
      <w:r>
        <w:tab/>
        <w:t>procedures for screening, monitoring, and performing criminal history record background checks of employees;</w:t>
      </w:r>
    </w:p>
    <w:p w:rsidR="00A20CD0" w:rsidRDefault="00A20CD0" w:rsidP="00A20CD0">
      <w:r>
        <w:tab/>
        <w:t>(h)</w:t>
      </w:r>
      <w:r>
        <w:tab/>
        <w:t>cybersecurity procedures, including, in the case of an applicant for a medical cannabis dispensary permit, procedures for collecting, processing, and storing patient data, and the applicant's familiarity with State and federal privacy laws;</w:t>
      </w:r>
    </w:p>
    <w:p w:rsidR="00A20CD0" w:rsidRDefault="00A20CD0" w:rsidP="00A20CD0">
      <w:r>
        <w:tab/>
        <w:t>(i)</w:t>
      </w:r>
      <w:r>
        <w:tab/>
        <w:t>workplace safety plans and the applicant's familiarity with federal Occupational Safety and Health Administration regulations;</w:t>
      </w:r>
    </w:p>
    <w:p w:rsidR="00A20CD0" w:rsidRDefault="00A20CD0" w:rsidP="00A20CD0">
      <w:r>
        <w:lastRenderedPageBreak/>
        <w:tab/>
        <w:t>(j)</w:t>
      </w:r>
      <w:r>
        <w:tab/>
        <w:t xml:space="preserve">the applicant's history of workers' compensation claims and safety assessments; </w:t>
      </w:r>
    </w:p>
    <w:p w:rsidR="00A20CD0" w:rsidRDefault="00A20CD0" w:rsidP="00A20CD0">
      <w:r>
        <w:tab/>
        <w:t>(k)</w:t>
      </w:r>
      <w:r>
        <w:tab/>
        <w:t>procedures for reporting adverse events; and</w:t>
      </w:r>
    </w:p>
    <w:p w:rsidR="00A20CD0" w:rsidRDefault="00A20CD0" w:rsidP="00A20CD0">
      <w:r>
        <w:tab/>
        <w:t>(l)</w:t>
      </w:r>
      <w:r>
        <w:tab/>
        <w:t>a sanitation practices plan.</w:t>
      </w:r>
    </w:p>
    <w:p w:rsidR="00A20CD0" w:rsidRDefault="00A20CD0" w:rsidP="00A20CD0">
      <w:r>
        <w:tab/>
        <w:t>(3)</w:t>
      </w:r>
      <w:r>
        <w:tab/>
        <w:t>A summary of the applicant's business experience, including the following, if applicable:</w:t>
      </w:r>
    </w:p>
    <w:p w:rsidR="00A20CD0" w:rsidRDefault="00A20CD0" w:rsidP="00A20CD0">
      <w:r>
        <w:tab/>
        <w:t>(a)</w:t>
      </w:r>
      <w:r>
        <w:tab/>
        <w:t xml:space="preserve">the applicant's experience operating businesses in highly-regulated industries; </w:t>
      </w:r>
    </w:p>
    <w:p w:rsidR="00A20CD0" w:rsidRDefault="00A20CD0" w:rsidP="00A20CD0">
      <w:r>
        <w:tab/>
        <w:t>(b)</w:t>
      </w:r>
      <w:r>
        <w:tab/>
        <w:t>the applicant's experience in operating alternative treatment centers and related medical cannabis production and dispensation entities under the laws of New Jersey or any other state or jurisdiction within the United States; and</w:t>
      </w:r>
    </w:p>
    <w:p w:rsidR="00A20CD0" w:rsidRDefault="00A20CD0" w:rsidP="00A20CD0">
      <w:r>
        <w:tab/>
        <w:t>(c)</w:t>
      </w:r>
      <w:r>
        <w:tab/>
        <w:t>the applicant's plan to comply with and mitigate the effects of 26 U.S.C. s.280E on cannabis businesses, and for evidence that the applicant is not in arrears with respect to any tax obligation to the State.</w:t>
      </w:r>
    </w:p>
    <w:p w:rsidR="00A20CD0" w:rsidRDefault="00A20CD0" w:rsidP="00A20CD0">
      <w:r>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A20CD0" w:rsidRDefault="00A20CD0" w:rsidP="00A20CD0">
      <w:r>
        <w:tab/>
        <w:t>(4)</w:t>
      </w:r>
      <w:r>
        <w:tab/>
        <w:t>A description of the proposed location for the applicant's site, including the following, if applicable:</w:t>
      </w:r>
    </w:p>
    <w:p w:rsidR="00A20CD0" w:rsidRDefault="00A20CD0" w:rsidP="00A20CD0">
      <w:r>
        <w:tab/>
        <w:t>(a)</w:t>
      </w:r>
      <w:r>
        <w:tab/>
        <w:t>the proposed location, the surrounding area, and the suitability or advantages of the proposed location, along with a floor plan and optional renderings or architectural or engineering plans;</w:t>
      </w:r>
    </w:p>
    <w:p w:rsidR="00A20CD0" w:rsidRDefault="00A20CD0" w:rsidP="00A20CD0">
      <w:r>
        <w:tab/>
        <w:t>(b)</w:t>
      </w:r>
      <w:r>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A20CD0" w:rsidRDefault="00A20CD0" w:rsidP="00A20CD0">
      <w:r>
        <w:tab/>
        <w:t>(c)</w:t>
      </w:r>
      <w:r>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A20CD0" w:rsidRDefault="00A20CD0" w:rsidP="00A20CD0">
      <w:r>
        <w:lastRenderedPageBreak/>
        <w:tab/>
        <w:t>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A20CD0" w:rsidRDefault="00A20CD0" w:rsidP="00A20CD0">
      <w:r>
        <w:tab/>
        <w:t>(5)</w:t>
      </w:r>
      <w:r>
        <w:tab/>
        <w:t>A community impact, social responsibility, and research statement, which shall include, but shall not be limited to, the following:</w:t>
      </w:r>
    </w:p>
    <w:p w:rsidR="00A20CD0" w:rsidRDefault="00A20CD0" w:rsidP="00A20CD0">
      <w:r>
        <w:tab/>
        <w:t>(a)</w:t>
      </w:r>
      <w:r>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A20CD0" w:rsidRDefault="00A20CD0" w:rsidP="00A20CD0">
      <w:r>
        <w:tab/>
        <w:t>(b)</w:t>
      </w:r>
      <w:r>
        <w:tab/>
        <w:t xml:space="preserve">a written description of the applicant's record of social responsibility, philanthropy, and ties to the proposed host community; </w:t>
      </w:r>
    </w:p>
    <w:p w:rsidR="00A20CD0" w:rsidRDefault="00A20CD0" w:rsidP="00A20CD0">
      <w:r>
        <w:tab/>
        <w:t>(c)</w:t>
      </w:r>
      <w:r>
        <w:tab/>
        <w:t>a written description of any research the applicant has conducted on the medical efficacy or adverse effects of cannabis use and the applicant's participation in or support of cannabis-related research and educational activities; and</w:t>
      </w:r>
    </w:p>
    <w:p w:rsidR="00A20CD0" w:rsidRDefault="00A20CD0" w:rsidP="00A20CD0">
      <w:r>
        <w:tab/>
        <w:t>(d)</w:t>
      </w:r>
      <w:r>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A20CD0" w:rsidRDefault="00A20CD0" w:rsidP="00A20CD0">
      <w:r>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A20CD0" w:rsidRDefault="00A20CD0" w:rsidP="00A20CD0">
      <w:r>
        <w:tab/>
        <w:t>(6)</w:t>
      </w:r>
      <w:r>
        <w:tab/>
        <w:t xml:space="preserve">A workforce development and job creation plan, which may include, but shall not be limited to a description of the applicant's workforce development and job creation plan, which may include </w:t>
      </w:r>
      <w:r>
        <w:lastRenderedPageBreak/>
        <w:t>information on the applicant's history of job creation and planned job creation at the proposed facility; education, training, and resources to be made available for employees; any relevant certifications; and a diversity plan.</w:t>
      </w:r>
    </w:p>
    <w:p w:rsidR="00A20CD0" w:rsidRDefault="00A20CD0" w:rsidP="00A20CD0">
      <w:r>
        <w:tab/>
        <w:t>(7)</w:t>
      </w:r>
      <w:r>
        <w:tab/>
        <w:t>A business and financial plan, which may include, but shall not be limited to, the following:</w:t>
      </w:r>
    </w:p>
    <w:p w:rsidR="00A20CD0" w:rsidRDefault="00A20CD0" w:rsidP="00A20CD0">
      <w:r>
        <w:tab/>
        <w:t>(a)</w:t>
      </w:r>
      <w:r>
        <w:tab/>
        <w:t>an executive summary of the applicant's business plan;</w:t>
      </w:r>
    </w:p>
    <w:p w:rsidR="00A20CD0" w:rsidRDefault="00A20CD0" w:rsidP="00A20CD0">
      <w:r>
        <w:tab/>
        <w:t>(b)</w:t>
      </w:r>
      <w:r>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A20CD0" w:rsidRDefault="00A20CD0" w:rsidP="00A20CD0">
      <w:r>
        <w:tab/>
        <w:t>(c)</w:t>
      </w:r>
      <w:r>
        <w:tab/>
        <w:t>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A20CD0" w:rsidRDefault="00A20CD0" w:rsidP="00A20CD0">
      <w:r>
        <w:tab/>
        <w:t>(8)</w:t>
      </w:r>
      <w:r>
        <w:tab/>
        <w:t xml:space="preserve">Whether any of the applicant's majority or controlling owners were previously approved by the commission to serve as an officer, director, principal, or key employee of an alternative treatment center, provided any such individual served in that capacity at the alternative treatment center for six or more months. </w:t>
      </w:r>
    </w:p>
    <w:p w:rsidR="00A20CD0" w:rsidRDefault="00A20CD0" w:rsidP="00A20CD0">
      <w:r>
        <w:tab/>
        <w:t>(9)</w:t>
      </w:r>
      <w:r>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A20CD0" w:rsidRDefault="00A20CD0" w:rsidP="00A20CD0">
      <w:r>
        <w:tab/>
        <w:t>(a)</w:t>
      </w:r>
      <w:r>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A20CD0" w:rsidRDefault="00A20CD0" w:rsidP="00A20CD0">
      <w:r>
        <w:tab/>
        <w:t>(b)</w:t>
      </w:r>
      <w:r>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A20CD0" w:rsidRDefault="00A20CD0" w:rsidP="00A20CD0">
      <w:r>
        <w:lastRenderedPageBreak/>
        <w:tab/>
        <w:t>(c)</w:t>
      </w:r>
      <w:r>
        <w:tab/>
        <w:t>the school, hospital, facility, or pharmacy participates in major decision-making activities within the applicant's organization, which may be demonstrated by representation on the board of directors of the applicant's organization.</w:t>
      </w:r>
    </w:p>
    <w:p w:rsidR="00A20CD0" w:rsidRDefault="00A20CD0" w:rsidP="00A20CD0">
      <w:r>
        <w:tab/>
        <w:t>(10) The proposed composition of the applicant's medical advisory board established pursuant to section 15 of P.L.2019, c.153 (C.24:6I-7.5), if any.</w:t>
      </w:r>
    </w:p>
    <w:p w:rsidR="00A20CD0" w:rsidRDefault="00A20CD0" w:rsidP="00A20CD0">
      <w:r>
        <w:tab/>
        <w:t>(11)  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A20CD0" w:rsidRDefault="00A20CD0" w:rsidP="00A20CD0">
      <w:r>
        <w:tab/>
        <w:t>(12)  Any other information the commission deems relevant in determining whether to grant a permit to the applicant.</w:t>
      </w:r>
    </w:p>
    <w:p w:rsidR="00A20CD0" w:rsidRDefault="00A20CD0" w:rsidP="00A20CD0">
      <w:r>
        <w:tab/>
        <w:t>e.</w:t>
      </w:r>
      <w:r>
        <w:tab/>
        <w:t>In addition to the information to be submitted pursuant to subsections c. and d. of this section, the commission shall require all permit applicants, other than applicants issued a conditional permit,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In reviewing initial permit applications, the commission shall give priority to the following:</w:t>
      </w:r>
    </w:p>
    <w:p w:rsidR="00A20CD0" w:rsidRDefault="00A20CD0" w:rsidP="00A20CD0">
      <w:r>
        <w:tab/>
        <w:t>(1)</w:t>
      </w:r>
      <w:r>
        <w:tab/>
        <w:t>Applicants that are party to a collective bargaining agreement with a labor organization that currently represents, or is actively seeking to represent, cannabis workers in New Jersey.</w:t>
      </w:r>
    </w:p>
    <w:p w:rsidR="00A20CD0" w:rsidRDefault="00A20CD0" w:rsidP="00A20CD0">
      <w:r>
        <w:tab/>
        <w:t>(2)</w:t>
      </w:r>
      <w:r>
        <w:tab/>
        <w:t xml:space="preserve">Applicants that are party to a collective bargaining agreement with a labor organization that currently represents cannabis workers in another state.  </w:t>
      </w:r>
    </w:p>
    <w:p w:rsidR="00A20CD0" w:rsidRDefault="00A20CD0" w:rsidP="00A20CD0">
      <w:r>
        <w:lastRenderedPageBreak/>
        <w:tab/>
        <w:t>(3)</w:t>
      </w:r>
      <w:r>
        <w:tab/>
        <w:t>Applicants that include a significantly involved person or persons lawfully residing in New Jersey for at least two years as of the date of the application.</w:t>
      </w:r>
    </w:p>
    <w:p w:rsidR="00A20CD0" w:rsidRDefault="00A20CD0" w:rsidP="00A20CD0">
      <w:r>
        <w:tab/>
        <w:t>(4)</w:t>
      </w:r>
      <w:r>
        <w:tab/>
        <w:t>Applicants that submit an attestation affirming that they will use best efforts to utilize union labor in the construction or retrofit of the facilities associated with the permitted entity.</w:t>
      </w:r>
    </w:p>
    <w:p w:rsidR="00A20CD0" w:rsidRDefault="00A20CD0" w:rsidP="00A20CD0">
      <w:r>
        <w:tab/>
        <w:t>The requirements of this subsection shall not apply to a microbusiness applying for a conditional or annual permit of any type.</w:t>
      </w:r>
    </w:p>
    <w:p w:rsidR="00A20CD0" w:rsidRDefault="00A20CD0" w:rsidP="00A20CD0">
      <w:r>
        <w:tab/>
        <w:t>f.</w:t>
      </w:r>
      <w:r>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the officers, 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A20CD0" w:rsidRDefault="00A20CD0" w:rsidP="00A20CD0">
      <w:r>
        <w:tab/>
        <w:t>g.</w:t>
      </w:r>
      <w:r>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Medical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A20CD0" w:rsidRDefault="00A20CD0" w:rsidP="00A20CD0">
      <w:r>
        <w:tab/>
        <w:t>(1)</w:t>
      </w:r>
      <w:r>
        <w:tab/>
        <w:t xml:space="preserve">at least 15 percent of the total number of new medical cannabis cultivator permits, medical cannabis manufacturer permits, and medical cannabis dispensary permits issued on or after the effective date of P.L.2019, c.153 (C.24:6I-5.1 et al.) are issued to a </w:t>
      </w:r>
      <w:r>
        <w:lastRenderedPageBreak/>
        <w:t xml:space="preserve">qualified applicant that has been certified as a minority business pursuant to P.L.1986, c.195 (C.52:27H-21.18 et seq.); and </w:t>
      </w:r>
    </w:p>
    <w:p w:rsidR="00A20CD0" w:rsidRDefault="00A20CD0" w:rsidP="00A20CD0">
      <w:r>
        <w:tab/>
        <w:t>(2)</w:t>
      </w:r>
      <w:r>
        <w:tab/>
        <w:t xml:space="preserve">at least 15 percent of the total number of new medical cannabis cultivator permits, medical cannabis manufacturer permits, and medical cannabis dispensary permits issued on or after the effective date of P.L.2019, c.153 (C.24:6I-5.1 et al.) are issued to a qualified applicant that has been certified as a women's business pursuant to P.L.1986, c.195 (C.52:27H-21.18 et seq.) or that is a disabled-veterans' business, as defined in section 2 of P.L.2015, c.116 (C.52:32-31.2).  </w:t>
      </w:r>
    </w:p>
    <w:p w:rsidR="00A20CD0" w:rsidRDefault="00A20CD0" w:rsidP="00A20CD0">
      <w:r>
        <w:tab/>
        <w:t>In selecting among applicants who meet these criteria, the commission shall grant a higher preference to applicants with up to two of the certifications described in this subsection.</w:t>
      </w:r>
    </w:p>
    <w:p w:rsidR="00A20CD0" w:rsidRDefault="00A20CD0" w:rsidP="00A20CD0">
      <w:r>
        <w:tab/>
        <w:t>h.</w:t>
      </w:r>
      <w:r>
        <w:tab/>
        <w:t>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A20CD0" w:rsidRDefault="00A20CD0" w:rsidP="00A20CD0">
      <w:r>
        <w:tab/>
        <w:t>i.</w:t>
      </w:r>
      <w:r>
        <w:tab/>
        <w:t>Application materials submitted to the commission pursuant to this section shall not be considered a public record pursuant to P.L.1963, c.73 (C.47:1A-1 et seq.) or P.L.2001, c.404 (C.47:1A-5 et al.).</w:t>
      </w:r>
    </w:p>
    <w:p w:rsidR="00A20CD0" w:rsidRDefault="00A20CD0" w:rsidP="00A20CD0">
      <w:r>
        <w:tab/>
        <w:t>j.</w:t>
      </w:r>
      <w:r>
        <w:tab/>
        <w:t xml:space="preserve">If the commission notifies an applicant that it has performed sufficiently well on multiple applications to be awarded more than one medical cannabis cultivator permit, more than one medical </w:t>
      </w:r>
      <w:r>
        <w:lastRenderedPageBreak/>
        <w:t>cannabis manufacturer permit, or more than one medical cannabis dispensary permit by the commission, the applicant shall notify the commission, within seven business days after receiving such notice, as to which permit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A20CD0" w:rsidRDefault="00A20CD0" w:rsidP="00A20CD0">
      <w:r>
        <w:tab/>
        <w:t>k.</w:t>
      </w:r>
      <w:r>
        <w:tab/>
      </w:r>
      <w:r w:rsidRPr="001D1A55">
        <w:rPr>
          <w:rFonts w:ascii="Albertus Extra Bold" w:hAnsi="Albertus Extra Bold"/>
          <w:b/>
        </w:rPr>
        <w:t>[</w:t>
      </w:r>
      <w:r>
        <w:t>The</w:t>
      </w:r>
      <w:r w:rsidRPr="001D1A55">
        <w:rPr>
          <w:rFonts w:ascii="Albertus Extra Bold" w:hAnsi="Albertus Extra Bold"/>
          <w:b/>
        </w:rPr>
        <w:t>]</w:t>
      </w:r>
      <w:r>
        <w:t xml:space="preserve">  </w:t>
      </w:r>
      <w:r>
        <w:rPr>
          <w:u w:val="single"/>
        </w:rPr>
        <w:t>(1)  Subject to the provisions of paragraph (2) of this subsection, the</w:t>
      </w:r>
      <w:r>
        <w:t xml:space="preserve"> provisions of this section shall not apply to any permit applications submitted pursuant to a request for applications published in the New Jersey Register prior to the effective date of P.L.2019, c.153 (C.24:6I-5.1 et al.).</w:t>
      </w:r>
    </w:p>
    <w:p w:rsidR="00A20CD0" w:rsidRDefault="00A20CD0" w:rsidP="00A20CD0">
      <w:pPr>
        <w:rPr>
          <w:u w:val="single"/>
        </w:rPr>
      </w:pPr>
      <w:r>
        <w:tab/>
      </w:r>
      <w:r>
        <w:rPr>
          <w:u w:val="single"/>
        </w:rPr>
        <w:t>(2)</w:t>
      </w:r>
      <w:r>
        <w:rPr>
          <w:u w:val="single"/>
        </w:rPr>
        <w:tab/>
        <w:t xml:space="preserve">The provisions of subsection l. of this section shall not apply to </w:t>
      </w:r>
      <w:r w:rsidRPr="001D1A55">
        <w:rPr>
          <w:u w:val="single"/>
        </w:rPr>
        <w:t>any permit applications submitted pursuant to a request for applications published in the New Jersey Register prior to the effective date of P.L.</w:t>
      </w:r>
      <w:r>
        <w:rPr>
          <w:u w:val="single"/>
        </w:rPr>
        <w:t xml:space="preserve">    </w:t>
      </w:r>
      <w:r w:rsidRPr="001D1A55">
        <w:rPr>
          <w:u w:val="single"/>
        </w:rPr>
        <w:t>, c.</w:t>
      </w:r>
      <w:r>
        <w:rPr>
          <w:u w:val="single"/>
        </w:rPr>
        <w:t xml:space="preserve">   </w:t>
      </w:r>
      <w:r w:rsidRPr="001D1A55">
        <w:rPr>
          <w:u w:val="single"/>
        </w:rPr>
        <w:t xml:space="preserve"> (C.</w:t>
      </w:r>
      <w:r>
        <w:rPr>
          <w:u w:val="single"/>
        </w:rPr>
        <w:t xml:space="preserve">        </w:t>
      </w:r>
      <w:r w:rsidRPr="001D1A55">
        <w:rPr>
          <w:u w:val="single"/>
        </w:rPr>
        <w:t>)</w:t>
      </w:r>
      <w:r>
        <w:rPr>
          <w:u w:val="single"/>
        </w:rPr>
        <w:t xml:space="preserve"> (pending before the Legislature as this bill).</w:t>
      </w:r>
    </w:p>
    <w:p w:rsidR="00A20CD0" w:rsidRPr="00C713A1" w:rsidRDefault="00A20CD0" w:rsidP="00A20CD0">
      <w:pPr>
        <w:rPr>
          <w:rFonts w:ascii="Albertus Extra Bold" w:hAnsi="Albertus Extra Bold"/>
          <w:b/>
          <w:vertAlign w:val="superscript"/>
        </w:rPr>
      </w:pPr>
      <w:r>
        <w:tab/>
      </w:r>
      <w:r>
        <w:rPr>
          <w:u w:val="single"/>
        </w:rPr>
        <w:t>l.</w:t>
      </w:r>
      <w:r>
        <w:rPr>
          <w:u w:val="single"/>
        </w:rPr>
        <w:tab/>
      </w:r>
      <w:r w:rsidRPr="00DF6393">
        <w:rPr>
          <w:u w:val="single"/>
        </w:rPr>
        <w:t>In addition to the information to be submitted pursuant to subsections c.</w:t>
      </w:r>
      <w:r>
        <w:rPr>
          <w:u w:val="single"/>
        </w:rPr>
        <w:t>,</w:t>
      </w:r>
      <w:r w:rsidRPr="00DF6393">
        <w:rPr>
          <w:u w:val="single"/>
        </w:rPr>
        <w:t xml:space="preserve"> d.</w:t>
      </w:r>
      <w:r>
        <w:rPr>
          <w:u w:val="single"/>
        </w:rPr>
        <w:t>, and e.</w:t>
      </w:r>
      <w:r w:rsidRPr="00DF6393">
        <w:rPr>
          <w:u w:val="single"/>
        </w:rPr>
        <w:t xml:space="preserve"> of this section, the commission shall require all permit applicants</w:t>
      </w:r>
      <w:r>
        <w:rPr>
          <w:u w:val="single"/>
        </w:rPr>
        <w:t xml:space="preserve"> to submit a copy of any services agreement entered into by the applicant with third party entity, which agreement shall be subject to review as provided in subsection f. of section 11 of P.L.2019, c.153 (C.24:6I-7.1).</w:t>
      </w:r>
      <w:r>
        <w:rPr>
          <w:rFonts w:ascii="Albertus Extra Bold" w:hAnsi="Albertus Extra Bold"/>
          <w:b/>
          <w:vertAlign w:val="superscript"/>
        </w:rPr>
        <w:t>1</w:t>
      </w:r>
    </w:p>
    <w:p w:rsidR="00A20CD0" w:rsidRDefault="00A20CD0" w:rsidP="00A20CD0">
      <w:r>
        <w:t>(cf: P.L.2019, c.153, s.12)</w:t>
      </w:r>
    </w:p>
    <w:p w:rsidR="00A20CD0" w:rsidRPr="00D71D68" w:rsidRDefault="00A20CD0" w:rsidP="00582CE4"/>
    <w:p w:rsidR="00686AEB" w:rsidRPr="00AA7880" w:rsidRDefault="00686AEB" w:rsidP="00686AEB">
      <w:r>
        <w:tab/>
      </w:r>
      <w:r w:rsidR="005A266F">
        <w:rPr>
          <w:rFonts w:ascii="Albertus Extra Bold" w:hAnsi="Albertus Extra Bold"/>
          <w:b/>
          <w:vertAlign w:val="superscript"/>
        </w:rPr>
        <w:t>1</w:t>
      </w:r>
      <w:r w:rsidR="005A266F" w:rsidRPr="005A266F">
        <w:rPr>
          <w:rFonts w:ascii="Albertus Extra Bold" w:hAnsi="Albertus Extra Bold"/>
          <w:b/>
        </w:rPr>
        <w:t>[</w:t>
      </w:r>
      <w:r w:rsidR="00582CE4">
        <w:t>2</w:t>
      </w:r>
      <w:r w:rsidR="00C770FE">
        <w:t>.</w:t>
      </w:r>
      <w:r w:rsidR="005A266F" w:rsidRPr="005A266F">
        <w:rPr>
          <w:rFonts w:ascii="Albertus Extra Bold" w:hAnsi="Albertus Extra Bold"/>
          <w:b/>
        </w:rPr>
        <w:t>]</w:t>
      </w:r>
      <w:r w:rsidR="005A266F">
        <w:t xml:space="preserve"> </w:t>
      </w:r>
      <w:r w:rsidR="005A266F">
        <w:rPr>
          <w:u w:val="single"/>
        </w:rPr>
        <w:t>4.</w:t>
      </w:r>
      <w:r w:rsidR="005A266F">
        <w:rPr>
          <w:rFonts w:ascii="Albertus Extra Bold" w:hAnsi="Albertus Extra Bold"/>
          <w:b/>
          <w:vertAlign w:val="superscript"/>
        </w:rPr>
        <w:t>1</w:t>
      </w:r>
      <w:r w:rsidR="00582CE4">
        <w:tab/>
      </w:r>
      <w:r w:rsidR="00C770FE">
        <w:t>This act shall take effect</w:t>
      </w:r>
      <w:r w:rsidR="00582CE4">
        <w:t xml:space="preserve"> immediately.</w:t>
      </w:r>
    </w:p>
    <w:sectPr w:rsidR="00686AEB" w:rsidRPr="00AA7880" w:rsidSect="001F60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2E8" w:rsidRDefault="00F802E8">
      <w:r>
        <w:separator/>
      </w:r>
    </w:p>
  </w:endnote>
  <w:endnote w:type="continuationSeparator" w:id="0">
    <w:p w:rsidR="00F802E8" w:rsidRDefault="00F80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8C6" w:rsidRDefault="004918C6" w:rsidP="004918C6">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0FE" w:rsidRPr="00921C91" w:rsidRDefault="00C770F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70FE" w:rsidRPr="00921C91" w:rsidRDefault="00C770FE">
    <w:pPr>
      <w:pStyle w:val="Footer"/>
      <w:rPr>
        <w:szCs w:val="18"/>
      </w:rPr>
    </w:pPr>
  </w:p>
  <w:p w:rsidR="00C770FE" w:rsidRPr="00921C91" w:rsidRDefault="00C770F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0353" w:rsidRDefault="00A00353" w:rsidP="00686AEB">
    <w:pPr>
      <w:pStyle w:val="Footer"/>
    </w:pPr>
    <w:r>
      <w:tab/>
      <w:t>Matter enclosed in superscript numerals has been adopted as follows:</w:t>
    </w:r>
  </w:p>
  <w:p w:rsidR="00A00353" w:rsidRDefault="00A0035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8, 2021.</w:t>
    </w:r>
  </w:p>
  <w:p w:rsidR="00A00353" w:rsidRDefault="005D4E1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AHE committee amendments adopted May 5, 2021.</w:t>
    </w:r>
  </w:p>
  <w:p w:rsidR="005D4E16" w:rsidRPr="005D4E16" w:rsidRDefault="005D4E1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2E8" w:rsidRDefault="00F802E8">
      <w:r>
        <w:separator/>
      </w:r>
    </w:p>
  </w:footnote>
  <w:footnote w:type="continuationSeparator" w:id="0">
    <w:p w:rsidR="00F802E8" w:rsidRDefault="00F80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70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60D7" w:rsidRDefault="001F60D7" w:rsidP="001F60D7">
    <w:pPr>
      <w:pStyle w:val="bpuHeadSpon"/>
    </w:pPr>
    <w:r w:rsidRPr="001F60D7">
      <w:rPr>
        <w:rStyle w:val="bpuHeadSponChar"/>
      </w:rPr>
      <w:t>A5179</w:t>
    </w:r>
    <w:r>
      <w:t xml:space="preserve"> </w:t>
    </w:r>
    <w:r w:rsidR="005D4E16">
      <w:t>[2R]</w:t>
    </w:r>
    <w:r w:rsidR="00A00353">
      <w:t xml:space="preserve"> </w:t>
    </w:r>
    <w:r>
      <w:t>REYNOLDS-JACKSON, BERGEN</w:t>
    </w:r>
  </w:p>
  <w:p w:rsidR="001F60D7" w:rsidRDefault="001F60D7" w:rsidP="001F60D7">
    <w:pPr>
      <w:pStyle w:val="bpuHeadSpon"/>
    </w:pPr>
    <w:r>
      <w:fldChar w:fldCharType="begin"/>
    </w:r>
    <w:r>
      <w:instrText xml:space="preserve"> PAGE  \* MERGEFORMAT </w:instrText>
    </w:r>
    <w:r>
      <w:fldChar w:fldCharType="separate"/>
    </w:r>
    <w:r w:rsidR="001F7005">
      <w:rPr>
        <w:noProof/>
      </w:rPr>
      <w:t>13</w:t>
    </w:r>
    <w:r>
      <w:fldChar w:fldCharType="end"/>
    </w:r>
  </w:p>
  <w:p w:rsidR="001F60D7" w:rsidRDefault="001F60D7" w:rsidP="001F6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60D7" w:rsidRDefault="001F60D7" w:rsidP="001F60D7">
    <w:pPr>
      <w:pStyle w:val="bpuHeadSpon"/>
    </w:pPr>
    <w:r w:rsidRPr="001F60D7">
      <w:rPr>
        <w:rStyle w:val="bpuHeadSponChar"/>
      </w:rPr>
      <w:t>A5179</w:t>
    </w:r>
    <w:r>
      <w:t xml:space="preserve"> </w:t>
    </w:r>
    <w:r w:rsidR="005D4E16">
      <w:t>[2R]</w:t>
    </w:r>
    <w:r w:rsidR="00A00353">
      <w:t xml:space="preserve"> </w:t>
    </w:r>
    <w:r>
      <w:t>REYNOLDS-JACKSON, BERGEN</w:t>
    </w:r>
  </w:p>
  <w:p w:rsidR="001F60D7" w:rsidRDefault="001F60D7" w:rsidP="001F60D7">
    <w:pPr>
      <w:pStyle w:val="bpuHeadSpon"/>
    </w:pPr>
    <w:r>
      <w:fldChar w:fldCharType="begin"/>
    </w:r>
    <w:r>
      <w:instrText xml:space="preserve"> PAGE  \* MERGEFORMAT </w:instrText>
    </w:r>
    <w:r>
      <w:fldChar w:fldCharType="separate"/>
    </w:r>
    <w:r w:rsidR="001F7005">
      <w:rPr>
        <w:noProof/>
      </w:rPr>
      <w:t>2</w:t>
    </w:r>
    <w:r>
      <w:fldChar w:fldCharType="end"/>
    </w:r>
  </w:p>
  <w:p w:rsidR="001F60D7" w:rsidRDefault="001F60D7" w:rsidP="001F6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2E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7BF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AC1"/>
    <w:rsid w:val="001F60D7"/>
    <w:rsid w:val="001F7005"/>
    <w:rsid w:val="001F7405"/>
    <w:rsid w:val="00205533"/>
    <w:rsid w:val="00212B8D"/>
    <w:rsid w:val="002206C8"/>
    <w:rsid w:val="00222983"/>
    <w:rsid w:val="00227AD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6B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8C6"/>
    <w:rsid w:val="00492076"/>
    <w:rsid w:val="00493B1D"/>
    <w:rsid w:val="00497037"/>
    <w:rsid w:val="004A3009"/>
    <w:rsid w:val="004A6940"/>
    <w:rsid w:val="004A77A4"/>
    <w:rsid w:val="004B73B7"/>
    <w:rsid w:val="004C742C"/>
    <w:rsid w:val="004D15D9"/>
    <w:rsid w:val="004D193A"/>
    <w:rsid w:val="004E1F3E"/>
    <w:rsid w:val="004F21BD"/>
    <w:rsid w:val="004F4C70"/>
    <w:rsid w:val="004F4F1D"/>
    <w:rsid w:val="004F74DD"/>
    <w:rsid w:val="00501317"/>
    <w:rsid w:val="0050495C"/>
    <w:rsid w:val="00505DC9"/>
    <w:rsid w:val="00506E1E"/>
    <w:rsid w:val="00513C81"/>
    <w:rsid w:val="00525A1C"/>
    <w:rsid w:val="00525E48"/>
    <w:rsid w:val="00527BFB"/>
    <w:rsid w:val="00532A32"/>
    <w:rsid w:val="00540B0B"/>
    <w:rsid w:val="0054460F"/>
    <w:rsid w:val="005536CD"/>
    <w:rsid w:val="00554051"/>
    <w:rsid w:val="00557240"/>
    <w:rsid w:val="005629A4"/>
    <w:rsid w:val="005651F3"/>
    <w:rsid w:val="00572184"/>
    <w:rsid w:val="00577A15"/>
    <w:rsid w:val="00580533"/>
    <w:rsid w:val="00582CE4"/>
    <w:rsid w:val="0059131D"/>
    <w:rsid w:val="00595E06"/>
    <w:rsid w:val="005A266F"/>
    <w:rsid w:val="005B3F92"/>
    <w:rsid w:val="005B479C"/>
    <w:rsid w:val="005B561E"/>
    <w:rsid w:val="005C07E4"/>
    <w:rsid w:val="005C2124"/>
    <w:rsid w:val="005C336F"/>
    <w:rsid w:val="005C7F3C"/>
    <w:rsid w:val="005D4E1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BD0"/>
    <w:rsid w:val="006A2579"/>
    <w:rsid w:val="006B7897"/>
    <w:rsid w:val="006B7FA7"/>
    <w:rsid w:val="006C086A"/>
    <w:rsid w:val="006C21C1"/>
    <w:rsid w:val="006C7327"/>
    <w:rsid w:val="006D00E5"/>
    <w:rsid w:val="006D791B"/>
    <w:rsid w:val="006E2895"/>
    <w:rsid w:val="006F180D"/>
    <w:rsid w:val="006F4334"/>
    <w:rsid w:val="006F47AF"/>
    <w:rsid w:val="006F4A24"/>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C2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5620"/>
    <w:rsid w:val="00837109"/>
    <w:rsid w:val="00840365"/>
    <w:rsid w:val="008406A3"/>
    <w:rsid w:val="00841D2C"/>
    <w:rsid w:val="00845F3C"/>
    <w:rsid w:val="008461B8"/>
    <w:rsid w:val="008462F1"/>
    <w:rsid w:val="00847EF1"/>
    <w:rsid w:val="008538FA"/>
    <w:rsid w:val="008573B0"/>
    <w:rsid w:val="00866563"/>
    <w:rsid w:val="00867AC2"/>
    <w:rsid w:val="0087056E"/>
    <w:rsid w:val="00873AFB"/>
    <w:rsid w:val="00874BCD"/>
    <w:rsid w:val="00875402"/>
    <w:rsid w:val="00884D51"/>
    <w:rsid w:val="008916EC"/>
    <w:rsid w:val="00891E4F"/>
    <w:rsid w:val="008A31C5"/>
    <w:rsid w:val="008A4F9A"/>
    <w:rsid w:val="008B2850"/>
    <w:rsid w:val="008C79B3"/>
    <w:rsid w:val="008D77BD"/>
    <w:rsid w:val="008E0D14"/>
    <w:rsid w:val="008E454C"/>
    <w:rsid w:val="008F1E5A"/>
    <w:rsid w:val="00901BDA"/>
    <w:rsid w:val="009121D8"/>
    <w:rsid w:val="00912D9C"/>
    <w:rsid w:val="00916F7A"/>
    <w:rsid w:val="00917FE3"/>
    <w:rsid w:val="009318C7"/>
    <w:rsid w:val="00931C09"/>
    <w:rsid w:val="009348C2"/>
    <w:rsid w:val="0094222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353"/>
    <w:rsid w:val="00A017C0"/>
    <w:rsid w:val="00A11228"/>
    <w:rsid w:val="00A129A6"/>
    <w:rsid w:val="00A20CD0"/>
    <w:rsid w:val="00A222C2"/>
    <w:rsid w:val="00A305D6"/>
    <w:rsid w:val="00A342C4"/>
    <w:rsid w:val="00A50F6B"/>
    <w:rsid w:val="00A52237"/>
    <w:rsid w:val="00A551D6"/>
    <w:rsid w:val="00A61584"/>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99F"/>
    <w:rsid w:val="00B0116D"/>
    <w:rsid w:val="00B01173"/>
    <w:rsid w:val="00B02F35"/>
    <w:rsid w:val="00B05A3C"/>
    <w:rsid w:val="00B07100"/>
    <w:rsid w:val="00B1138C"/>
    <w:rsid w:val="00B2574A"/>
    <w:rsid w:val="00B35D8A"/>
    <w:rsid w:val="00B45B34"/>
    <w:rsid w:val="00B5449B"/>
    <w:rsid w:val="00B57047"/>
    <w:rsid w:val="00B61D86"/>
    <w:rsid w:val="00B6342D"/>
    <w:rsid w:val="00B726BD"/>
    <w:rsid w:val="00B732BC"/>
    <w:rsid w:val="00B90E33"/>
    <w:rsid w:val="00B9676B"/>
    <w:rsid w:val="00BA2EA5"/>
    <w:rsid w:val="00BA364B"/>
    <w:rsid w:val="00BA5E64"/>
    <w:rsid w:val="00BB1190"/>
    <w:rsid w:val="00BB31D0"/>
    <w:rsid w:val="00BB3A11"/>
    <w:rsid w:val="00BB4DDB"/>
    <w:rsid w:val="00BB5D79"/>
    <w:rsid w:val="00BB5F02"/>
    <w:rsid w:val="00BC7892"/>
    <w:rsid w:val="00BE24D6"/>
    <w:rsid w:val="00BE35BF"/>
    <w:rsid w:val="00BE7EFA"/>
    <w:rsid w:val="00BF06AD"/>
    <w:rsid w:val="00BF2C67"/>
    <w:rsid w:val="00C04386"/>
    <w:rsid w:val="00C04F4D"/>
    <w:rsid w:val="00C12E48"/>
    <w:rsid w:val="00C13D14"/>
    <w:rsid w:val="00C15F53"/>
    <w:rsid w:val="00C23F09"/>
    <w:rsid w:val="00C25356"/>
    <w:rsid w:val="00C328D0"/>
    <w:rsid w:val="00C46BC1"/>
    <w:rsid w:val="00C5235F"/>
    <w:rsid w:val="00C54CE2"/>
    <w:rsid w:val="00C66BF3"/>
    <w:rsid w:val="00C70140"/>
    <w:rsid w:val="00C73CA7"/>
    <w:rsid w:val="00C770FE"/>
    <w:rsid w:val="00C822F6"/>
    <w:rsid w:val="00C82AC2"/>
    <w:rsid w:val="00C82B2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FD6"/>
    <w:rsid w:val="00D9695B"/>
    <w:rsid w:val="00DA2417"/>
    <w:rsid w:val="00DA4639"/>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2E8"/>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B29B3E-3396-4544-B1B8-648E3D45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F60D7"/>
  </w:style>
  <w:style w:type="paragraph" w:styleId="BalloonText">
    <w:name w:val="Balloon Text"/>
    <w:basedOn w:val="Normal"/>
    <w:link w:val="BalloonTextChar"/>
    <w:semiHidden/>
    <w:unhideWhenUsed/>
    <w:rsid w:val="00A615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15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11450</Words>
  <Characters>64851</Characters>
  <Application>Microsoft Office Word</Application>
  <DocSecurity>0</DocSecurity>
  <Lines>1302</Lines>
  <Paragraphs>223</Paragraphs>
  <ScaleCrop>false</ScaleCrop>
  <HeadingPairs>
    <vt:vector size="2" baseType="variant">
      <vt:variant>
        <vt:lpstr>Title</vt:lpstr>
      </vt:variant>
      <vt:variant>
        <vt:i4>1</vt:i4>
      </vt:variant>
    </vt:vector>
  </HeadingPairs>
  <TitlesOfParts>
    <vt:vector size="1" baseType="lpstr">
      <vt:lpstr>A5179 2R</vt:lpstr>
    </vt:vector>
  </TitlesOfParts>
  <Manager>R225</Manager>
  <Company>NJ Office of Legislative Services</Company>
  <LinksUpToDate>false</LinksUpToDate>
  <CharactersWithSpaces>76440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A5179 2R</dc:title>
  <dc:subject>20-12031</dc:subject>
  <dc:creator>Assemblywoman  REYNOLDS-JACKSON, Assemblyman  BERGEN</dc:creator>
  <cp:keywords>A5179|28|HS |263|219|321|!|0|</cp:keywords>
  <dc:description>INTRODUCED DECEMBER 21, 2020_x000d_
Amended 3/8/21_x000d_
Amended 5/5/21</dc:description>
  <cp:lastModifiedBy>Siracusa, Nicole</cp:lastModifiedBy>
  <cp:revision>2</cp:revision>
  <cp:lastPrinted>2021-03-09T14:54:00Z</cp:lastPrinted>
  <dcterms:created xsi:type="dcterms:W3CDTF">2021-05-06T18:02:00Z</dcterms:created>
  <dcterms:modified xsi:type="dcterms:W3CDTF">2021-05-06T18:02:00Z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