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10D" w:rsidRDefault="00C22A72" w:rsidP="00DB110D">
      <w:pPr>
        <w:pStyle w:val="bpuReprint"/>
      </w:pPr>
      <w:bookmarkStart w:id="0" w:name="_GoBack"/>
      <w:bookmarkEnd w:id="0"/>
      <w:r>
        <w:t>[Second Reprint]</w:t>
      </w:r>
    </w:p>
    <w:p w:rsidR="00AA4CDD" w:rsidRDefault="00AA4CDD" w:rsidP="00AA4CDD">
      <w:pPr>
        <w:pStyle w:val="bpuBill"/>
      </w:pPr>
      <w:r>
        <w:t xml:space="preserve">ASSEMBLY, No. 5373 </w:t>
      </w:r>
    </w:p>
    <w:p w:rsidR="00AA4CDD" w:rsidRPr="009D38FF" w:rsidRDefault="00AA4CDD" w:rsidP="00AA4C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61902" r:id="rId8"/>
        </w:object>
      </w:r>
    </w:p>
    <w:p w:rsidR="00AA4CDD" w:rsidRDefault="00AA4CDD" w:rsidP="00AA4CDD">
      <w:pPr>
        <w:pStyle w:val="bpuState"/>
      </w:pPr>
      <w:r>
        <w:t>STATE OF NEW JERSEY</w:t>
      </w:r>
    </w:p>
    <w:p w:rsidR="00AA4CDD" w:rsidRDefault="00AA4CDD" w:rsidP="00AA4CDD">
      <w:pPr>
        <w:pStyle w:val="bpuLegislature"/>
      </w:pPr>
      <w:r>
        <w:t>219th LEGISLATURE</w:t>
      </w:r>
    </w:p>
    <w:p w:rsidR="00AA4CDD" w:rsidRDefault="00AA4CDD" w:rsidP="00AA4CDD">
      <w:pPr>
        <w:pStyle w:val="bpuWpGraphic"/>
      </w:pPr>
      <w:r>
        <w:object w:dxaOrig="8985" w:dyaOrig="255">
          <v:shape id="_x0000_i1026" type="#_x0000_t75" style="width:6in;height:12pt" o:ole="">
            <v:imagedata r:id="rId7" o:title=""/>
          </v:shape>
          <o:OLEObject Type="Embed" ProgID="WPWin6.1" ShapeID="_x0000_i1026" DrawAspect="Content" ObjectID="_1678261903" r:id="rId9"/>
        </w:object>
      </w:r>
      <w:r>
        <w:t xml:space="preserve">  </w:t>
      </w:r>
    </w:p>
    <w:p w:rsidR="00AA4CDD" w:rsidRDefault="00AA4CDD" w:rsidP="00AA4CDD">
      <w:pPr>
        <w:pStyle w:val="bpuIntro"/>
      </w:pPr>
      <w:r>
        <w:t>INTRODUCED FEBRUARY 23, 2021</w:t>
      </w:r>
    </w:p>
    <w:p w:rsidR="00AA4CDD" w:rsidRDefault="00AA4CDD" w:rsidP="00AA4CDD">
      <w:pPr>
        <w:pStyle w:val="bpuIntro"/>
      </w:pPr>
    </w:p>
    <w:p w:rsidR="00AA4CDD" w:rsidRDefault="00AA4CDD" w:rsidP="00AA4CDD">
      <w:pPr>
        <w:pStyle w:val="bpuIntro"/>
        <w:sectPr w:rsidR="00AA4CDD" w:rsidSect="009A60D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A4CDD" w:rsidRDefault="00AA4CDD" w:rsidP="00AA4CDD">
      <w:pPr>
        <w:pStyle w:val="bpuIntro"/>
      </w:pPr>
    </w:p>
    <w:p w:rsidR="00AA4CDD" w:rsidRDefault="00AA4CDD" w:rsidP="00AA4CDD">
      <w:pPr>
        <w:pStyle w:val="bpuSponsor"/>
      </w:pPr>
      <w:r>
        <w:t>Sponsored by:</w:t>
      </w:r>
    </w:p>
    <w:p w:rsidR="00AA4CDD" w:rsidRDefault="00AA4CDD" w:rsidP="00AA4CDD">
      <w:pPr>
        <w:pStyle w:val="bpuSponsor"/>
      </w:pPr>
      <w:r>
        <w:t>Assemblyman  WILLIAM F. MOEN, JR.</w:t>
      </w:r>
    </w:p>
    <w:p w:rsidR="00AA4CDD" w:rsidRDefault="00AA4CDD" w:rsidP="00AA4CDD">
      <w:pPr>
        <w:pStyle w:val="bpuSponsor"/>
      </w:pPr>
      <w:r>
        <w:t>District 5 (Camden and Gloucester)</w:t>
      </w:r>
    </w:p>
    <w:p w:rsidR="00AA4CDD" w:rsidRDefault="00900A97" w:rsidP="00900A97">
      <w:pPr>
        <w:pStyle w:val="bpuSponsor"/>
      </w:pPr>
      <w:r>
        <w:t>Assemblyman  ANTHONY S. VERRELLI</w:t>
      </w:r>
    </w:p>
    <w:p w:rsidR="00900A97" w:rsidRDefault="00900A97" w:rsidP="00900A97">
      <w:pPr>
        <w:pStyle w:val="bpuSponsor"/>
      </w:pPr>
      <w:r>
        <w:t>District 15 (Hunterdon and Mercer)</w:t>
      </w:r>
    </w:p>
    <w:p w:rsidR="00900A97" w:rsidRDefault="00C046A2" w:rsidP="00C046A2">
      <w:pPr>
        <w:pStyle w:val="bpuSponsor"/>
      </w:pPr>
      <w:r>
        <w:t>Assemblywoman  VERLINA REYNOLDS-JACKSON</w:t>
      </w:r>
    </w:p>
    <w:p w:rsidR="00C046A2" w:rsidRDefault="00C046A2" w:rsidP="00C046A2">
      <w:pPr>
        <w:pStyle w:val="bpuSponsor"/>
      </w:pPr>
      <w:r>
        <w:t>District 15 (Hunterdon and Mercer)</w:t>
      </w:r>
    </w:p>
    <w:p w:rsidR="00C046A2" w:rsidRDefault="009A60DE" w:rsidP="009A60DE">
      <w:pPr>
        <w:pStyle w:val="bpuSponsor"/>
      </w:pPr>
      <w:r>
        <w:t>Senator  JAMES BEACH</w:t>
      </w:r>
    </w:p>
    <w:p w:rsidR="009A60DE" w:rsidRDefault="009A60DE" w:rsidP="009A60DE">
      <w:pPr>
        <w:pStyle w:val="bpuSponsor"/>
      </w:pPr>
      <w:r>
        <w:t>District 6 (Burlington and Camden)</w:t>
      </w:r>
    </w:p>
    <w:p w:rsidR="009A60DE" w:rsidRDefault="009A60DE" w:rsidP="009A60DE">
      <w:pPr>
        <w:pStyle w:val="bpuSponsor"/>
      </w:pPr>
      <w:r>
        <w:t>Senator  NELLIE POU</w:t>
      </w:r>
    </w:p>
    <w:p w:rsidR="009A60DE" w:rsidRDefault="009A60DE" w:rsidP="009A60DE">
      <w:pPr>
        <w:pStyle w:val="bpuSponsor"/>
      </w:pPr>
      <w:r>
        <w:t>District 35 (Bergen and Passaic)</w:t>
      </w:r>
    </w:p>
    <w:p w:rsidR="009A60DE" w:rsidRPr="009A60DE" w:rsidRDefault="009A60DE" w:rsidP="009A60DE"/>
    <w:p w:rsidR="00AA4CDD" w:rsidRDefault="00AA4CDD" w:rsidP="00AA4CDD">
      <w:pPr>
        <w:pStyle w:val="bpuSponsor"/>
      </w:pPr>
    </w:p>
    <w:p w:rsidR="00AA4CDD" w:rsidRDefault="00AA4CDD" w:rsidP="00AA4CDD">
      <w:pPr>
        <w:pStyle w:val="bpuSponsor"/>
      </w:pPr>
    </w:p>
    <w:p w:rsidR="00AA4CDD" w:rsidRDefault="00AA4CDD" w:rsidP="00AA4CDD">
      <w:pPr>
        <w:pStyle w:val="bpuSponsor"/>
      </w:pPr>
    </w:p>
    <w:p w:rsidR="00AA4CDD" w:rsidRDefault="00AA4CDD" w:rsidP="00AA4CDD">
      <w:pPr>
        <w:pStyle w:val="bpuSponsor"/>
      </w:pPr>
      <w:r>
        <w:t>SYNOPSIS</w:t>
      </w:r>
    </w:p>
    <w:p w:rsidR="00274A65" w:rsidRPr="00274A65" w:rsidRDefault="00274A65" w:rsidP="00274A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274A65">
        <w:rPr>
          <w:spacing w:val="0"/>
        </w:rPr>
        <w:t>Allows county board of elections to determine location of certain ballot drop boxes under certain circumstances.</w:t>
      </w:r>
    </w:p>
    <w:p w:rsidR="00AA4CDD" w:rsidRDefault="00AA4CDD" w:rsidP="00AA4CDD">
      <w:pPr>
        <w:pStyle w:val="bpuNormText"/>
      </w:pPr>
    </w:p>
    <w:p w:rsidR="00AA4CDD" w:rsidRDefault="00AA4CDD" w:rsidP="00AA4CDD">
      <w:pPr>
        <w:pStyle w:val="bpuSponsor"/>
      </w:pPr>
      <w:r>
        <w:t xml:space="preserve">CURRENT VERSION OF TEXT </w:t>
      </w:r>
    </w:p>
    <w:p w:rsidR="00AA4CDD" w:rsidRDefault="00C22A72" w:rsidP="00AA4CDD">
      <w:pPr>
        <w:pStyle w:val="bpuNormText"/>
      </w:pPr>
      <w:r>
        <w:tab/>
        <w:t>As amended by the Senate on March 25, 2021.</w:t>
      </w:r>
    </w:p>
    <w:p w:rsidR="00AA4CDD" w:rsidRDefault="00AA4CDD" w:rsidP="00AA4C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4CDD" w:rsidRDefault="00AA4CDD" w:rsidP="008916EC">
      <w:pPr>
        <w:pStyle w:val="FronterPage"/>
        <w:tabs>
          <w:tab w:val="clear" w:pos="720"/>
          <w:tab w:val="clear" w:pos="1440"/>
          <w:tab w:val="clear" w:pos="2160"/>
          <w:tab w:val="clear" w:pos="2880"/>
          <w:tab w:val="clear" w:pos="3600"/>
          <w:tab w:val="clear" w:pos="4320"/>
          <w:tab w:val="clear" w:pos="5040"/>
        </w:tabs>
        <w:sectPr w:rsidR="00AA4CDD" w:rsidSect="00AA4CDD">
          <w:type w:val="continuous"/>
          <w:pgSz w:w="12240" w:h="20160" w:code="5"/>
          <w:pgMar w:top="1440" w:right="2275" w:bottom="1440" w:left="2275" w:header="72" w:footer="720" w:gutter="0"/>
          <w:pgNumType w:start="1"/>
          <w:cols w:space="720"/>
          <w:docGrid w:linePitch="360"/>
        </w:sectPr>
      </w:pPr>
    </w:p>
    <w:p w:rsidR="00686AEB" w:rsidRPr="00677316" w:rsidRDefault="007043EA" w:rsidP="003E47BA">
      <w:pPr>
        <w:pStyle w:val="HangingAnAct"/>
        <w:rPr>
          <w:rStyle w:val="HangingAnActChar"/>
        </w:rPr>
      </w:pPr>
      <w:r>
        <w:rPr>
          <w:rStyle w:val="BillHead"/>
        </w:rPr>
        <w:lastRenderedPageBreak/>
        <w:t>An Act</w:t>
      </w:r>
      <w:r w:rsidR="00686AEB" w:rsidRPr="006B7FA7">
        <w:rPr>
          <w:rStyle w:val="HangingAnActChar"/>
        </w:rPr>
        <w:t xml:space="preserve"> </w:t>
      </w:r>
      <w:r w:rsidR="009C0E12" w:rsidRPr="009C0E12">
        <w:rPr>
          <w:rStyle w:val="HangingAnActChar"/>
        </w:rPr>
        <w:t>concerning the location of ballot drop boxes in each county and amending P.L.2020, c.72.</w:t>
      </w:r>
    </w:p>
    <w:p w:rsidR="000B1054" w:rsidRPr="00D71D68" w:rsidRDefault="000B1054" w:rsidP="000B1054"/>
    <w:p w:rsidR="00686AEB" w:rsidRPr="00AA7880" w:rsidRDefault="00686AEB" w:rsidP="00686AEB">
      <w:r>
        <w:tab/>
      </w:r>
      <w:r w:rsidR="007043EA">
        <w:rPr>
          <w:rStyle w:val="BillHeading2"/>
        </w:rPr>
        <w:t>Be It Enacted</w:t>
      </w:r>
      <w:r>
        <w:rPr>
          <w:rStyle w:val="BillHeading2"/>
        </w:rPr>
        <w:t xml:space="preserve"> </w:t>
      </w:r>
      <w:r w:rsidR="007043EA">
        <w:rPr>
          <w:rStyle w:val="BillLanguage"/>
        </w:rPr>
        <w:t>by the Senate and General Assembly of the State of New Jersey:</w:t>
      </w:r>
    </w:p>
    <w:p w:rsidR="00686AEB" w:rsidRDefault="00686AEB" w:rsidP="00686AEB"/>
    <w:p w:rsidR="00E54513" w:rsidRPr="00E54513" w:rsidRDefault="00DF402F"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DB110D">
        <w:rPr>
          <w:rFonts w:ascii="Albertus Extra Bold" w:hAnsi="Albertus Extra Bold"/>
          <w:b/>
          <w:vertAlign w:val="superscript"/>
        </w:rPr>
        <w:t>1</w:t>
      </w:r>
      <w:r w:rsidR="00DB110D" w:rsidRPr="00DB110D">
        <w:rPr>
          <w:rFonts w:ascii="Albertus Extra Bold" w:hAnsi="Albertus Extra Bold"/>
          <w:b/>
        </w:rPr>
        <w:t>[</w:t>
      </w:r>
      <w:r w:rsidR="00DB110D">
        <w:rPr>
          <w:spacing w:val="0"/>
        </w:rPr>
        <w:t xml:space="preserve">1.  </w:t>
      </w:r>
      <w:r w:rsidR="00E54513" w:rsidRPr="00E54513">
        <w:rPr>
          <w:spacing w:val="0"/>
        </w:rPr>
        <w:t xml:space="preserve">Section 1 of P.L.2020, c.72 (C.19:63-16.1) is amended to read as follows:  </w:t>
      </w:r>
    </w:p>
    <w:p w:rsidR="00E54513" w:rsidRPr="00E54513" w:rsidRDefault="00E54513" w:rsidP="00E545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E54513">
        <w:rPr>
          <w:spacing w:val="0"/>
        </w:rPr>
        <w:tab/>
        <w:t>1.</w:t>
      </w:r>
      <w:r w:rsidRPr="00E54513">
        <w:rPr>
          <w:spacing w:val="0"/>
        </w:rPr>
        <w:tab/>
        <w:t>a.</w:t>
      </w:r>
      <w:r w:rsidRPr="00E54513">
        <w:rPr>
          <w:spacing w:val="0"/>
        </w:rPr>
        <w:tab/>
        <w:t xml:space="preserve">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p>
    <w:p w:rsidR="00E54513" w:rsidRPr="00E54513" w:rsidRDefault="00E54513" w:rsidP="00E545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E54513">
        <w:rPr>
          <w:spacing w:val="0"/>
        </w:rPr>
        <w:tab/>
        <w:t>b.</w:t>
      </w:r>
      <w:r w:rsidRPr="00E54513">
        <w:rPr>
          <w:spacing w:val="0"/>
        </w:rPr>
        <w:tab/>
        <w:t>(1)</w:t>
      </w:r>
      <w:r w:rsidRPr="00E54513">
        <w:rPr>
          <w:spacing w:val="0"/>
        </w:rPr>
        <w:tab/>
        <w:t xml:space="preserve">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 </w:t>
      </w:r>
    </w:p>
    <w:p w:rsidR="00E54513" w:rsidRPr="00E54513" w:rsidRDefault="00E54513" w:rsidP="00E5451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E54513">
        <w:rPr>
          <w:spacing w:val="0"/>
        </w:rPr>
        <w:tab/>
        <w:t>(2)</w:t>
      </w:r>
      <w:r w:rsidRPr="00E54513">
        <w:rPr>
          <w:spacing w:val="0"/>
        </w:rPr>
        <w:tab/>
        <w:t>(a)</w:t>
      </w:r>
      <w:r w:rsidRPr="00E54513">
        <w:rPr>
          <w:spacing w:val="0"/>
        </w:rPr>
        <w:tab/>
        <w:t xml:space="preserve">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 </w:t>
      </w:r>
    </w:p>
    <w:p w:rsidR="00DB110D" w:rsidRDefault="00E54513" w:rsidP="00DB1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54513">
        <w:rPr>
          <w:spacing w:val="0"/>
        </w:rPr>
        <w:tab/>
        <w:t>(b)</w:t>
      </w:r>
      <w:r w:rsidRPr="00E54513">
        <w:rPr>
          <w:spacing w:val="0"/>
        </w:rPr>
        <w:tab/>
      </w:r>
      <w:r w:rsidRPr="00E54513">
        <w:rPr>
          <w:rFonts w:ascii="Albertus Extra Bold" w:hAnsi="Albertus Extra Bold"/>
          <w:b/>
          <w:spacing w:val="0"/>
        </w:rPr>
        <w:t>[</w:t>
      </w:r>
      <w:r w:rsidRPr="00E54513">
        <w:rPr>
          <w:spacing w:val="0"/>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r w:rsidRPr="00E54513">
        <w:rPr>
          <w:rFonts w:ascii="Albertus Extra Bold" w:hAnsi="Albertus Extra Bold"/>
          <w:b/>
          <w:spacing w:val="0"/>
        </w:rPr>
        <w:t>]</w:t>
      </w:r>
      <w:r w:rsidRPr="00E54513">
        <w:rPr>
          <w:spacing w:val="0"/>
        </w:rPr>
        <w:t xml:space="preserve"> </w:t>
      </w:r>
      <w:r w:rsidRPr="00E54513">
        <w:rPr>
          <w:spacing w:val="0"/>
          <w:u w:val="single"/>
        </w:rPr>
        <w:t>The board of elections in each county shall determine the locations of the ballot drop boxes in compliance with the requirements of this section. The ballot drop box locations shall be approved by a majority vote of the members of the boar</w:t>
      </w:r>
      <w:r w:rsidR="00DB110D">
        <w:rPr>
          <w:spacing w:val="0"/>
          <w:u w:val="single"/>
        </w:rPr>
        <w:t>d of elections. However, in</w:t>
      </w:r>
      <w:r w:rsidR="00DB110D">
        <w:br w:type="page"/>
      </w:r>
    </w:p>
    <w:p w:rsidR="00E54513" w:rsidRPr="00E54513" w:rsidRDefault="001719B0"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u w:val="single"/>
        </w:rPr>
        <w:t>the</w:t>
      </w:r>
      <w:r w:rsidR="00DB110D">
        <w:rPr>
          <w:spacing w:val="0"/>
          <w:u w:val="single"/>
        </w:rPr>
        <w:t xml:space="preserve"> </w:t>
      </w:r>
      <w:r w:rsidR="00E54513" w:rsidRPr="00E54513">
        <w:rPr>
          <w:spacing w:val="0"/>
          <w:u w:val="single"/>
        </w:rPr>
        <w:t>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(c)</w:t>
      </w:r>
      <w:r w:rsidRPr="00E54513">
        <w:rPr>
          <w:spacing w:val="0"/>
        </w:rPr>
        <w:tab/>
        <w:t xml:space="preserve">The board of elections </w:t>
      </w:r>
      <w:r w:rsidRPr="00E54513">
        <w:rPr>
          <w:rFonts w:ascii="Albertus Extra Bold" w:hAnsi="Albertus Extra Bold"/>
          <w:b/>
          <w:spacing w:val="0"/>
        </w:rPr>
        <w:t>[</w:t>
      </w:r>
      <w:r w:rsidRPr="00E54513">
        <w:rPr>
          <w:spacing w:val="0"/>
        </w:rPr>
        <w:t>of any</w:t>
      </w:r>
      <w:r w:rsidRPr="00E54513">
        <w:rPr>
          <w:rFonts w:ascii="Albertus Extra Bold" w:hAnsi="Albertus Extra Bold"/>
          <w:b/>
          <w:spacing w:val="0"/>
        </w:rPr>
        <w:t>]</w:t>
      </w:r>
      <w:r w:rsidRPr="00E54513">
        <w:rPr>
          <w:spacing w:val="0"/>
        </w:rPr>
        <w:t xml:space="preserve"> </w:t>
      </w:r>
      <w:r w:rsidRPr="00E54513">
        <w:rPr>
          <w:spacing w:val="0"/>
          <w:u w:val="single"/>
        </w:rPr>
        <w:t>in each</w:t>
      </w:r>
      <w:r w:rsidRPr="00E54513">
        <w:rPr>
          <w:spacing w:val="0"/>
        </w:rPr>
        <w:t xml:space="preserve"> county </w:t>
      </w:r>
      <w:r w:rsidRPr="00E54513">
        <w:rPr>
          <w:rFonts w:ascii="Albertus Extra Bold" w:hAnsi="Albertus Extra Bold"/>
          <w:b/>
          <w:spacing w:val="0"/>
        </w:rPr>
        <w:t>[</w:t>
      </w:r>
      <w:r w:rsidRPr="00E54513">
        <w:rPr>
          <w:spacing w:val="0"/>
        </w:rPr>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Pr="00E54513">
        <w:rPr>
          <w:rFonts w:ascii="Albertus Extra Bold" w:hAnsi="Albertus Extra Bold"/>
          <w:b/>
          <w:spacing w:val="0"/>
        </w:rPr>
        <w:t>]</w:t>
      </w:r>
      <w:r w:rsidRPr="00E54513">
        <w:rPr>
          <w:spacing w:val="0"/>
        </w:rPr>
        <w:t xml:space="preserve"> </w:t>
      </w:r>
      <w:r w:rsidRPr="00E54513">
        <w:rPr>
          <w:spacing w:val="0"/>
          <w:u w:val="single"/>
        </w:rPr>
        <w:t>shall establish</w:t>
      </w:r>
      <w:r w:rsidRPr="00E54513">
        <w:rPr>
          <w:spacing w:val="0"/>
        </w:rPr>
        <w:t xml:space="preserve"> no fewer than 10 ballot drop boxes. </w:t>
      </w:r>
      <w:r w:rsidRPr="00E54513">
        <w:rPr>
          <w:rFonts w:ascii="Albertus Extra Bold" w:hAnsi="Albertus Extra Bold"/>
          <w:b/>
          <w:spacing w:val="0"/>
        </w:rPr>
        <w:t>[</w:t>
      </w:r>
      <w:r w:rsidRPr="00E54513">
        <w:rPr>
          <w:spacing w:val="0"/>
        </w:rPr>
        <w:t>The additional drop boxes shall be placed at county or municipal government buildings.</w:t>
      </w:r>
      <w:r w:rsidRPr="00E54513">
        <w:rPr>
          <w:rFonts w:ascii="Albertus Extra Bold" w:hAnsi="Albertus Extra Bold"/>
          <w:b/>
          <w:spacing w:val="0"/>
        </w:rPr>
        <w:t>]</w:t>
      </w:r>
      <w:r w:rsidRPr="00E54513">
        <w:rPr>
          <w:spacing w:val="0"/>
        </w:rPr>
        <w:t xml:space="preserve">  To the best of their ability, the board of elections of every county shall place secure ballot drop boxes based on geographic location and population density to best serve the voters of each county </w:t>
      </w:r>
      <w:r w:rsidRPr="00E54513">
        <w:rPr>
          <w:rFonts w:ascii="Albertus Extra Bold" w:hAnsi="Albertus Extra Bold"/>
          <w:b/>
          <w:spacing w:val="0"/>
        </w:rPr>
        <w:t>[</w:t>
      </w:r>
      <w:r w:rsidRPr="00E54513">
        <w:rPr>
          <w:spacing w:val="0"/>
        </w:rPr>
        <w:t>pursuant to</w:t>
      </w:r>
      <w:r w:rsidRPr="00E54513">
        <w:rPr>
          <w:rFonts w:ascii="Albertus Extra Bold" w:hAnsi="Albertus Extra Bold"/>
          <w:b/>
          <w:spacing w:val="0"/>
        </w:rPr>
        <w:t>]</w:t>
      </w:r>
      <w:r w:rsidRPr="00E54513">
        <w:rPr>
          <w:spacing w:val="0"/>
        </w:rPr>
        <w:t xml:space="preserve"> </w:t>
      </w:r>
      <w:r w:rsidRPr="00E54513">
        <w:rPr>
          <w:spacing w:val="0"/>
          <w:u w:val="single"/>
        </w:rPr>
        <w:t>in compliance with</w:t>
      </w:r>
      <w:r w:rsidRPr="00E54513">
        <w:rPr>
          <w:spacing w:val="0"/>
        </w:rPr>
        <w:t xml:space="preserve"> the regulations adopted pursuant to subsection c. of this section. The Secretary of State shall establish guidelines for the placement of the ballot drop boxes, the security of the ballot drop boxes, and the schedule for ballot pickup from the ballot boxes.</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(d)</w:t>
      </w:r>
      <w:r w:rsidRPr="00E54513">
        <w:rPr>
          <w:spacing w:val="0"/>
        </w:rPr>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c.</w:t>
      </w:r>
      <w:r w:rsidRPr="00E54513">
        <w:rPr>
          <w:spacing w:val="0"/>
        </w:rPr>
        <w:tab/>
        <w:t xml:space="preserve">The Secretary of State, in consultation with county boards of elections, shall establish the rules and regulations necessary to ensure the secure and successful implementation of the mail-in ballot drop boxes required by this section </w:t>
      </w:r>
      <w:r w:rsidRPr="00E54513">
        <w:rPr>
          <w:spacing w:val="0"/>
          <w:u w:val="single"/>
        </w:rPr>
        <w:t>to ensure adequate access in various geographic areas of the county</w:t>
      </w:r>
      <w:r w:rsidRPr="00E54513">
        <w:rPr>
          <w:spacing w:val="0"/>
        </w:rPr>
        <w:t xml:space="preserve">. In determining the ballot drop box locations, the secretary and county boards of elections shall consider, at a minimum, concentrations of population, geographic areas, voter convenience, proximity to public transportation, community-based locations, </w:t>
      </w:r>
      <w:r w:rsidRPr="00E54513">
        <w:rPr>
          <w:spacing w:val="0"/>
          <w:u w:val="single"/>
        </w:rPr>
        <w:t>travel time to the location, proximity to other voting locations and ballot drop boxes, commuter traffic patterns,</w:t>
      </w:r>
      <w:r w:rsidRPr="00E54513">
        <w:rPr>
          <w:spacing w:val="0"/>
        </w:rPr>
        <w:t xml:space="preserve"> and security. The rules and regulations shall include, but may not be limited to, criteria for each county board of elections to:</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(1)</w:t>
      </w:r>
      <w:r w:rsidRPr="00E54513">
        <w:rPr>
          <w:spacing w:val="0"/>
        </w:rPr>
        <w:tab/>
        <w:t xml:space="preserve">determine the number of ballot drop boxes required per voter population, considering both the number of registered voters and the number of registered mail-in voters in each county before each election; </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(2)</w:t>
      </w:r>
      <w:r w:rsidRPr="00E54513">
        <w:rPr>
          <w:spacing w:val="0"/>
        </w:rPr>
        <w:tab/>
        <w:t>select the geographic location of each ballot drop box, ensuring an equitable distribution of ballot drop boxes across the county to maximize convenience to voters;</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(3)</w:t>
      </w:r>
      <w:r w:rsidRPr="00E54513">
        <w:rPr>
          <w:spacing w:val="0"/>
        </w:rPr>
        <w:tab/>
        <w:t>ensure the accessibility of ballot drop boxes and drop box locations to persons with disabilities; and</w:t>
      </w:r>
    </w:p>
    <w:p w:rsidR="00E54513" w:rsidRPr="00E54513" w:rsidRDefault="00E54513" w:rsidP="00E545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4513">
        <w:rPr>
          <w:spacing w:val="0"/>
        </w:rPr>
        <w:tab/>
        <w:t>(4)</w:t>
      </w:r>
      <w:r w:rsidRPr="00E54513">
        <w:rPr>
          <w:spacing w:val="0"/>
        </w:rPr>
        <w:tab/>
        <w:t xml:space="preserve">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E54513" w:rsidRDefault="00E54513" w:rsidP="00E54513">
      <w:r w:rsidRPr="00E54513">
        <w:rPr>
          <w:spacing w:val="0"/>
        </w:rPr>
        <w:t>(</w:t>
      </w:r>
      <w:proofErr w:type="spellStart"/>
      <w:r w:rsidRPr="00E54513">
        <w:rPr>
          <w:spacing w:val="0"/>
        </w:rPr>
        <w:t>cf</w:t>
      </w:r>
      <w:proofErr w:type="spellEnd"/>
      <w:r w:rsidRPr="00E54513">
        <w:rPr>
          <w:spacing w:val="0"/>
        </w:rPr>
        <w:t>: P.L.2020, c.72, s.1)</w:t>
      </w:r>
      <w:r w:rsidR="00DB110D" w:rsidRPr="00DB110D">
        <w:rPr>
          <w:rFonts w:ascii="Albertus Extra Bold" w:hAnsi="Albertus Extra Bold"/>
          <w:b/>
        </w:rPr>
        <w:t>]</w:t>
      </w:r>
      <w:r w:rsidR="00DB110D">
        <w:rPr>
          <w:rFonts w:ascii="Albertus Extra Bold" w:hAnsi="Albertus Extra Bold"/>
          <w:b/>
          <w:vertAlign w:val="superscript"/>
        </w:rPr>
        <w:t>1</w:t>
      </w:r>
    </w:p>
    <w:p w:rsidR="00E54513" w:rsidRDefault="00E54513" w:rsidP="00686AEB"/>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r>
      <w:r w:rsidRPr="00C22A72">
        <w:rPr>
          <w:rFonts w:ascii="Albertus Extra Bold" w:hAnsi="Albertus Extra Bold"/>
          <w:b/>
          <w:spacing w:val="0"/>
          <w:vertAlign w:val="superscript"/>
        </w:rPr>
        <w:t>1</w:t>
      </w:r>
      <w:r w:rsidRPr="00C22A72">
        <w:rPr>
          <w:spacing w:val="0"/>
        </w:rPr>
        <w:t>1.</w:t>
      </w:r>
      <w:r w:rsidRPr="00C22A72">
        <w:rPr>
          <w:spacing w:val="0"/>
        </w:rPr>
        <w:tab/>
        <w:t>Section 1 of P.L.2020, c.72 (C.19:63-16.1) is amended to read as follows:</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1.</w:t>
      </w:r>
      <w:r w:rsidRPr="00C22A72">
        <w:rPr>
          <w:spacing w:val="0"/>
        </w:rPr>
        <w:tab/>
        <w:t>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b.</w:t>
      </w:r>
      <w:r w:rsidRPr="00C22A72">
        <w:rPr>
          <w:spacing w:val="0"/>
        </w:rPr>
        <w:tab/>
        <w:t>(1)  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(2)  (a)  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 xml:space="preserve">(b)  </w:t>
      </w:r>
      <w:r w:rsidRPr="00C22A72">
        <w:rPr>
          <w:rFonts w:ascii="Albertus Extra Bold" w:hAnsi="Albertus Extra Bold"/>
          <w:b/>
          <w:vertAlign w:val="superscript"/>
        </w:rPr>
        <w:t>2</w:t>
      </w:r>
      <w:r w:rsidRPr="00C22A72">
        <w:rPr>
          <w:rFonts w:ascii="Albertus Extra Bold" w:hAnsi="Albertus Extra Bold"/>
          <w:b/>
        </w:rPr>
        <w:t>[</w:t>
      </w:r>
      <w:r w:rsidRPr="00C22A72">
        <w:rPr>
          <w:spacing w:val="0"/>
        </w:rPr>
        <w:t>At</w:t>
      </w:r>
      <w:r w:rsidRPr="00C22A72">
        <w:rPr>
          <w:rFonts w:ascii="Albertus Extra Bold" w:hAnsi="Albertus Extra Bold"/>
          <w:b/>
        </w:rPr>
        <w:t>]</w:t>
      </w:r>
      <w:r w:rsidRPr="00C22A72">
        <w:rPr>
          <w:spacing w:val="0"/>
        </w:rPr>
        <w:t xml:space="preserve"> </w:t>
      </w:r>
      <w:r w:rsidRPr="00C22A72">
        <w:rPr>
          <w:spacing w:val="0"/>
          <w:u w:val="single"/>
        </w:rPr>
        <w:t>Beginning with the 2021 general election, at</w:t>
      </w:r>
      <w:r w:rsidRPr="00C22A72">
        <w:rPr>
          <w:rFonts w:ascii="Albertus Extra Bold" w:hAnsi="Albertus Extra Bold"/>
          <w:b/>
          <w:vertAlign w:val="superscript"/>
        </w:rPr>
        <w:t>2</w:t>
      </w:r>
      <w:r w:rsidRPr="00C22A72">
        <w:rPr>
          <w:spacing w:val="0"/>
        </w:rPr>
        <w:t xml:space="preserve"> least one ballot drop box shall be located </w:t>
      </w:r>
      <w:r w:rsidRPr="00C22A72">
        <w:rPr>
          <w:rFonts w:ascii="Albertus Extra Bold" w:hAnsi="Albertus Extra Bold"/>
          <w:b/>
          <w:vertAlign w:val="superscript"/>
        </w:rPr>
        <w:t>2</w:t>
      </w:r>
      <w:r w:rsidRPr="00C22A72">
        <w:rPr>
          <w:rFonts w:ascii="Albertus Extra Bold" w:hAnsi="Albertus Extra Bold"/>
          <w:b/>
        </w:rPr>
        <w:t>[</w:t>
      </w:r>
      <w:r w:rsidRPr="00C22A72">
        <w:rPr>
          <w:spacing w:val="0"/>
        </w:rPr>
        <w:t>at each of the following locations</w:t>
      </w:r>
      <w:r w:rsidRPr="00C22A72">
        <w:rPr>
          <w:rFonts w:ascii="Albertus Extra Bold" w:hAnsi="Albertus Extra Bold"/>
          <w:b/>
        </w:rPr>
        <w:t>]</w:t>
      </w:r>
      <w:r w:rsidRPr="00C22A72">
        <w:rPr>
          <w:rFonts w:ascii="Albertus Extra Bold" w:hAnsi="Albertus Extra Bold"/>
          <w:b/>
          <w:vertAlign w:val="superscript"/>
        </w:rPr>
        <w:t>2</w:t>
      </w:r>
      <w:r w:rsidRPr="00C22A72">
        <w:rPr>
          <w:spacing w:val="0"/>
        </w:rPr>
        <w:t xml:space="preserve">: </w:t>
      </w:r>
      <w:r w:rsidRPr="00C22A72">
        <w:rPr>
          <w:rFonts w:ascii="Albertus Extra Bold" w:hAnsi="Albertus Extra Bold"/>
          <w:b/>
          <w:vertAlign w:val="superscript"/>
        </w:rPr>
        <w:t>2</w:t>
      </w:r>
      <w:r w:rsidRPr="00C22A72">
        <w:rPr>
          <w:spacing w:val="0"/>
          <w:u w:val="single"/>
        </w:rPr>
        <w:t>at</w:t>
      </w:r>
      <w:r w:rsidRPr="00C22A72">
        <w:rPr>
          <w:rFonts w:ascii="Albertus Extra Bold" w:hAnsi="Albertus Extra Bold"/>
          <w:b/>
          <w:vertAlign w:val="superscript"/>
        </w:rPr>
        <w:t>2</w:t>
      </w:r>
      <w:r w:rsidRPr="00C22A72">
        <w:rPr>
          <w:spacing w:val="0"/>
        </w:rPr>
        <w:t xml:space="preserve"> any county government building in which the main office of the county clerk is located; </w:t>
      </w:r>
      <w:r w:rsidRPr="00C22A72">
        <w:rPr>
          <w:rFonts w:ascii="Albertus Extra Bold" w:hAnsi="Albertus Extra Bold"/>
          <w:b/>
          <w:vertAlign w:val="superscript"/>
        </w:rPr>
        <w:t>2</w:t>
      </w:r>
      <w:r w:rsidRPr="00C22A72">
        <w:rPr>
          <w:rFonts w:ascii="Albertus Extra Bold" w:hAnsi="Albertus Extra Bold"/>
          <w:b/>
        </w:rPr>
        <w:t>[</w:t>
      </w:r>
      <w:r w:rsidRPr="00C22A72">
        <w:rPr>
          <w:spacing w:val="0"/>
        </w:rPr>
        <w:t>any municipal government building in which the main office of the municipal clerk is located in municipalities with populations</w:t>
      </w:r>
      <w:r w:rsidRPr="00C22A72">
        <w:rPr>
          <w:rFonts w:ascii="Albertus Extra Bold" w:hAnsi="Albertus Extra Bold"/>
          <w:b/>
        </w:rPr>
        <w:t>]</w:t>
      </w:r>
      <w:r w:rsidRPr="00C22A72">
        <w:rPr>
          <w:spacing w:val="0"/>
        </w:rPr>
        <w:t xml:space="preserve"> </w:t>
      </w:r>
      <w:r w:rsidRPr="00C22A72">
        <w:rPr>
          <w:spacing w:val="0"/>
          <w:u w:val="single"/>
        </w:rPr>
        <w:t>in each municipality with a population</w:t>
      </w:r>
      <w:r w:rsidRPr="00C22A72">
        <w:rPr>
          <w:rFonts w:ascii="Albertus Extra Bold" w:hAnsi="Albertus Extra Bold"/>
          <w:b/>
          <w:vertAlign w:val="superscript"/>
        </w:rPr>
        <w:t>2</w:t>
      </w:r>
      <w:r w:rsidRPr="00C22A72">
        <w:rPr>
          <w:spacing w:val="0"/>
        </w:rPr>
        <w:t xml:space="preserve"> larger than 5,000 residents; </w:t>
      </w:r>
      <w:r w:rsidRPr="00C22A72">
        <w:rPr>
          <w:rFonts w:ascii="Albertus Extra Bold" w:hAnsi="Albertus Extra Bold"/>
          <w:b/>
          <w:vertAlign w:val="superscript"/>
        </w:rPr>
        <w:t>2</w:t>
      </w:r>
      <w:r w:rsidRPr="00C22A72">
        <w:rPr>
          <w:rFonts w:ascii="Albertus Extra Bold" w:hAnsi="Albertus Extra Bold"/>
          <w:b/>
        </w:rPr>
        <w:t>[</w:t>
      </w:r>
      <w:r w:rsidRPr="00C22A72">
        <w:rPr>
          <w:spacing w:val="0"/>
        </w:rPr>
        <w:t>the main campus of each county community college;</w:t>
      </w:r>
      <w:r w:rsidRPr="00C22A72">
        <w:rPr>
          <w:rFonts w:ascii="Albertus Extra Bold" w:hAnsi="Albertus Extra Bold"/>
          <w:b/>
        </w:rPr>
        <w:t>]</w:t>
      </w:r>
      <w:r w:rsidRPr="00C22A72">
        <w:rPr>
          <w:spacing w:val="0"/>
        </w:rPr>
        <w:t xml:space="preserve"> </w:t>
      </w:r>
      <w:r w:rsidRPr="00C22A72">
        <w:rPr>
          <w:spacing w:val="0"/>
          <w:u w:val="single"/>
        </w:rPr>
        <w:t>at</w:t>
      </w:r>
      <w:r w:rsidRPr="00C22A72">
        <w:rPr>
          <w:rFonts w:ascii="Albertus Extra Bold" w:hAnsi="Albertus Extra Bold"/>
          <w:b/>
          <w:vertAlign w:val="superscript"/>
        </w:rPr>
        <w:t>2</w:t>
      </w:r>
      <w:r w:rsidRPr="00C22A72">
        <w:rPr>
          <w:spacing w:val="0"/>
        </w:rPr>
        <w:t xml:space="preserve"> the main campus of each State college or university; and the main campus of each independent four-year college or university with enrollments larger than 5,000 students. </w:t>
      </w:r>
      <w:r w:rsidRPr="00C22A72">
        <w:rPr>
          <w:spacing w:val="0"/>
          <w:u w:val="single"/>
        </w:rPr>
        <w:t>Notwithstanding the locational criteria established by this subparagraph, whenever two or more ballot drop box locations are separated by a distance of less than 2,000 feet, the board of elections in each county shall determine secondary locations for those ballot drop boxes in compliance with the requirements of this section.  The secondary ballot drop box locations shall be located within the municipality where those ballot drop boxes were originally located and shall be approved by a majority vote of the members of the board of elections.  However, in the 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 xml:space="preserve">(c)  The board of elections </w:t>
      </w:r>
      <w:r w:rsidRPr="00C22A72">
        <w:rPr>
          <w:rFonts w:ascii="Albertus Extra Bold" w:hAnsi="Albertus Extra Bold"/>
          <w:b/>
          <w:bCs/>
          <w:spacing w:val="0"/>
        </w:rPr>
        <w:t>[</w:t>
      </w:r>
      <w:r w:rsidRPr="00C22A72">
        <w:rPr>
          <w:spacing w:val="0"/>
        </w:rPr>
        <w:t>of any</w:t>
      </w:r>
      <w:r w:rsidRPr="00C22A72">
        <w:rPr>
          <w:rFonts w:ascii="Albertus Extra Bold" w:hAnsi="Albertus Extra Bold"/>
          <w:b/>
          <w:bCs/>
          <w:spacing w:val="0"/>
        </w:rPr>
        <w:t>]</w:t>
      </w:r>
      <w:r w:rsidRPr="00C22A72">
        <w:rPr>
          <w:spacing w:val="0"/>
        </w:rPr>
        <w:t xml:space="preserve"> </w:t>
      </w:r>
      <w:r w:rsidRPr="00C22A72">
        <w:rPr>
          <w:spacing w:val="0"/>
          <w:u w:val="single"/>
        </w:rPr>
        <w:t>in each</w:t>
      </w:r>
      <w:r w:rsidRPr="00C22A72">
        <w:rPr>
          <w:spacing w:val="0"/>
        </w:rPr>
        <w:t xml:space="preserve"> county </w:t>
      </w:r>
      <w:r w:rsidRPr="00C22A72">
        <w:rPr>
          <w:rFonts w:ascii="Albertus Extra Bold" w:hAnsi="Albertus Extra Bold"/>
          <w:b/>
          <w:bCs/>
          <w:spacing w:val="0"/>
        </w:rPr>
        <w:t>[</w:t>
      </w:r>
      <w:r w:rsidRPr="00C22A72">
        <w:rPr>
          <w:spacing w:val="0"/>
        </w:rPr>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Pr="00C22A72">
        <w:rPr>
          <w:rFonts w:ascii="Albertus Extra Bold" w:hAnsi="Albertus Extra Bold"/>
          <w:b/>
          <w:bCs/>
          <w:spacing w:val="0"/>
        </w:rPr>
        <w:t>]</w:t>
      </w:r>
      <w:r w:rsidRPr="00C22A72">
        <w:rPr>
          <w:spacing w:val="0"/>
        </w:rPr>
        <w:t xml:space="preserve"> </w:t>
      </w:r>
      <w:r w:rsidRPr="00C22A72">
        <w:rPr>
          <w:spacing w:val="0"/>
          <w:u w:val="single"/>
        </w:rPr>
        <w:t>shall establish</w:t>
      </w:r>
      <w:r w:rsidRPr="00C22A72">
        <w:rPr>
          <w:spacing w:val="0"/>
        </w:rPr>
        <w:t xml:space="preserve"> no fewer than 10 ballot drop boxes. </w:t>
      </w:r>
      <w:r w:rsidRPr="00C22A72">
        <w:rPr>
          <w:rFonts w:ascii="Albertus Extra Bold" w:hAnsi="Albertus Extra Bold"/>
          <w:b/>
          <w:bCs/>
          <w:spacing w:val="0"/>
        </w:rPr>
        <w:t>[</w:t>
      </w:r>
      <w:r w:rsidRPr="00C22A72">
        <w:rPr>
          <w:spacing w:val="0"/>
        </w:rPr>
        <w:t>The additional drop boxes shall be placed at county or municipal government buildings.</w:t>
      </w:r>
      <w:r w:rsidRPr="00C22A72">
        <w:rPr>
          <w:rFonts w:ascii="Albertus Extra Bold" w:hAnsi="Albertus Extra Bold"/>
          <w:b/>
          <w:bCs/>
          <w:spacing w:val="0"/>
        </w:rPr>
        <w:t>]</w:t>
      </w:r>
      <w:r w:rsidRPr="00C22A72">
        <w:rPr>
          <w:spacing w:val="0"/>
        </w:rPr>
        <w:t xml:space="preserve">  To the best of their ability, the board of elections of every county shall place secure ballot drop boxes based on geographic location and population density to best serve the voters of each county </w:t>
      </w:r>
      <w:r w:rsidRPr="00C22A72">
        <w:rPr>
          <w:rFonts w:ascii="Albertus Extra Bold" w:hAnsi="Albertus Extra Bold"/>
          <w:b/>
          <w:bCs/>
          <w:spacing w:val="0"/>
        </w:rPr>
        <w:t>[</w:t>
      </w:r>
      <w:r w:rsidRPr="00C22A72">
        <w:rPr>
          <w:spacing w:val="0"/>
        </w:rPr>
        <w:t>pursuant to</w:t>
      </w:r>
      <w:r w:rsidRPr="00C22A72">
        <w:rPr>
          <w:rFonts w:ascii="Albertus Extra Bold" w:hAnsi="Albertus Extra Bold"/>
          <w:b/>
          <w:bCs/>
          <w:spacing w:val="0"/>
        </w:rPr>
        <w:t>]</w:t>
      </w:r>
      <w:r w:rsidRPr="00C22A72">
        <w:rPr>
          <w:spacing w:val="0"/>
        </w:rPr>
        <w:t xml:space="preserve"> </w:t>
      </w:r>
      <w:r w:rsidRPr="00C22A72">
        <w:rPr>
          <w:spacing w:val="0"/>
          <w:u w:val="single"/>
        </w:rPr>
        <w:t>in compliance with</w:t>
      </w:r>
      <w:r w:rsidRPr="00C22A72">
        <w:rPr>
          <w:spacing w:val="0"/>
        </w:rPr>
        <w:t xml:space="preserve"> the </w:t>
      </w:r>
      <w:r w:rsidRPr="00C22A72">
        <w:rPr>
          <w:rFonts w:ascii="Albertus Extra Bold" w:hAnsi="Albertus Extra Bold"/>
          <w:b/>
          <w:bCs/>
          <w:spacing w:val="0"/>
        </w:rPr>
        <w:t>[</w:t>
      </w:r>
      <w:r w:rsidRPr="00C22A72">
        <w:rPr>
          <w:spacing w:val="0"/>
        </w:rPr>
        <w:t>regulations</w:t>
      </w:r>
      <w:r w:rsidRPr="00C22A72">
        <w:rPr>
          <w:rFonts w:ascii="Albertus Extra Bold" w:hAnsi="Albertus Extra Bold"/>
          <w:b/>
          <w:bCs/>
          <w:spacing w:val="0"/>
        </w:rPr>
        <w:t>]</w:t>
      </w:r>
      <w:r w:rsidRPr="00C22A72">
        <w:rPr>
          <w:spacing w:val="0"/>
        </w:rPr>
        <w:t xml:space="preserve"> </w:t>
      </w:r>
      <w:r w:rsidRPr="00C22A72">
        <w:rPr>
          <w:spacing w:val="0"/>
          <w:u w:val="single"/>
        </w:rPr>
        <w:t>guidelines</w:t>
      </w:r>
      <w:r w:rsidRPr="00C22A72">
        <w:rPr>
          <w:spacing w:val="0"/>
        </w:rPr>
        <w:t xml:space="preserve"> adopted pursuant to subsection c. of this section. The Secretary of State shall establish guidelines for the placement of the ballot drop boxes, the security of the ballot drop boxes, and the schedule for ballot pickup from the ballot boxes.</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(d)  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c.</w:t>
      </w:r>
      <w:r w:rsidRPr="00C22A72">
        <w:rPr>
          <w:spacing w:val="0"/>
        </w:rPr>
        <w:tab/>
        <w:t xml:space="preserve">The Secretary of State, in consultation with county boards of elections, shall establish the </w:t>
      </w:r>
      <w:r w:rsidRPr="00C22A72">
        <w:rPr>
          <w:rFonts w:ascii="Albertus Extra Bold" w:hAnsi="Albertus Extra Bold"/>
          <w:b/>
          <w:bCs/>
          <w:spacing w:val="0"/>
        </w:rPr>
        <w:t>[</w:t>
      </w:r>
      <w:r w:rsidRPr="00C22A72">
        <w:rPr>
          <w:spacing w:val="0"/>
        </w:rPr>
        <w:t>rules and regulations</w:t>
      </w:r>
      <w:r w:rsidRPr="00C22A72">
        <w:rPr>
          <w:rFonts w:ascii="Albertus Extra Bold" w:hAnsi="Albertus Extra Bold"/>
          <w:b/>
          <w:bCs/>
          <w:spacing w:val="0"/>
        </w:rPr>
        <w:t>]</w:t>
      </w:r>
      <w:r w:rsidRPr="00C22A72">
        <w:rPr>
          <w:spacing w:val="0"/>
        </w:rPr>
        <w:t xml:space="preserve"> </w:t>
      </w:r>
      <w:r w:rsidRPr="00C22A72">
        <w:rPr>
          <w:spacing w:val="0"/>
          <w:u w:val="single"/>
        </w:rPr>
        <w:t>guidelines</w:t>
      </w:r>
      <w:r w:rsidRPr="00C22A72">
        <w:rPr>
          <w:spacing w:val="0"/>
        </w:rPr>
        <w:t xml:space="preserve"> necessary to ensure the secure and successful implementation of the mail-in ballot drop boxes required by this section </w:t>
      </w:r>
      <w:r w:rsidRPr="00C22A72">
        <w:rPr>
          <w:spacing w:val="0"/>
          <w:u w:val="single"/>
        </w:rPr>
        <w:t>to ensure adequate access in various geographic areas of the county</w:t>
      </w:r>
      <w:r w:rsidRPr="00C22A72">
        <w:rPr>
          <w:spacing w:val="0"/>
        </w:rPr>
        <w:t xml:space="preserve">. In determining the ballot drop box locations, the secretary and county boards of elections shall consider, at a minimum, concentrations of population, geographic areas, voter convenience, proximity to public transportation, community-based locations, </w:t>
      </w:r>
      <w:r w:rsidRPr="00C22A72">
        <w:rPr>
          <w:spacing w:val="0"/>
          <w:u w:val="single"/>
        </w:rPr>
        <w:t>travel time to the location, proximity to other voting locations and ballot drop boxes, commuter traffic patterns,</w:t>
      </w:r>
      <w:r w:rsidRPr="00C22A72">
        <w:rPr>
          <w:spacing w:val="0"/>
        </w:rPr>
        <w:t xml:space="preserve"> and security. The </w:t>
      </w:r>
      <w:r w:rsidRPr="00C22A72">
        <w:rPr>
          <w:rFonts w:ascii="Albertus Extra Bold" w:hAnsi="Albertus Extra Bold"/>
          <w:b/>
          <w:bCs/>
          <w:spacing w:val="0"/>
        </w:rPr>
        <w:t>[</w:t>
      </w:r>
      <w:r w:rsidRPr="00C22A72">
        <w:rPr>
          <w:spacing w:val="0"/>
        </w:rPr>
        <w:t>rules and regulations</w:t>
      </w:r>
      <w:r w:rsidRPr="00C22A72">
        <w:rPr>
          <w:rFonts w:ascii="Albertus Extra Bold" w:hAnsi="Albertus Extra Bold"/>
          <w:b/>
          <w:bCs/>
          <w:spacing w:val="0"/>
        </w:rPr>
        <w:t>]</w:t>
      </w:r>
      <w:r w:rsidRPr="00C22A72">
        <w:rPr>
          <w:spacing w:val="0"/>
        </w:rPr>
        <w:t xml:space="preserve"> </w:t>
      </w:r>
      <w:r w:rsidRPr="00C22A72">
        <w:rPr>
          <w:spacing w:val="0"/>
          <w:u w:val="single"/>
        </w:rPr>
        <w:t>guidelines</w:t>
      </w:r>
      <w:r w:rsidRPr="00C22A72">
        <w:rPr>
          <w:spacing w:val="0"/>
        </w:rPr>
        <w:t xml:space="preserve"> shall include, but may not be limited to, criteria for each county board of elections to:</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(1)  determine the number of ballot drop boxes required per voter population, considering both the number of registered voters and the number of registered mail-in voters in each county before each election;</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(2)</w:t>
      </w:r>
      <w:r w:rsidRPr="00C22A72">
        <w:rPr>
          <w:spacing w:val="0"/>
        </w:rPr>
        <w:tab/>
        <w:t>select the geographic location of each ballot drop box, ensuring an equitable distribution of ballot drop boxes across the county to maximize convenience to voters;</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(3)  ensure the accessibility of ballot drop boxes and drop box locations to persons with disabilities; and</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ab/>
        <w:t>(4)  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22A72">
        <w:rPr>
          <w:spacing w:val="0"/>
        </w:rPr>
        <w:tab/>
      </w:r>
      <w:r w:rsidRPr="00C22A72">
        <w:rPr>
          <w:spacing w:val="0"/>
          <w:u w:val="single"/>
        </w:rPr>
        <w:t>d.</w:t>
      </w:r>
      <w:r w:rsidRPr="00C22A72">
        <w:rPr>
          <w:spacing w:val="0"/>
          <w:u w:val="single"/>
        </w:rPr>
        <w:tab/>
        <w:t>Each county clerk shall include the locations of the ballot drop boxes established in the county along with the instructions furnished with the mail-in ballot package sent to each mail-in voter pursuant to section 7 of P.L.2009, c.79 (C.19:63-7).  At least 45 days before each election, each county board of elections shall cause to be published on their respective websites the location of the ballot drop boxes in each county, and shall provide this information to the Secretary of State for publishing the same on the Division of Elections website.</w:t>
      </w:r>
      <w:r w:rsidRPr="00C22A72">
        <w:rPr>
          <w:rFonts w:ascii="Albertus Extra Bold" w:hAnsi="Albertus Extra Bold"/>
          <w:b/>
          <w:spacing w:val="0"/>
          <w:vertAlign w:val="superscript"/>
        </w:rPr>
        <w:t>1</w:t>
      </w:r>
    </w:p>
    <w:p w:rsidR="00C22A72" w:rsidRPr="00C22A72"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22A72">
        <w:rPr>
          <w:spacing w:val="0"/>
        </w:rPr>
        <w:t>(</w:t>
      </w:r>
      <w:proofErr w:type="spellStart"/>
      <w:r w:rsidRPr="00C22A72">
        <w:rPr>
          <w:spacing w:val="0"/>
        </w:rPr>
        <w:t>cf</w:t>
      </w:r>
      <w:proofErr w:type="spellEnd"/>
      <w:r w:rsidRPr="00C22A72">
        <w:rPr>
          <w:spacing w:val="0"/>
        </w:rPr>
        <w:t>: P.L.2020, c.72, s.1)</w:t>
      </w:r>
    </w:p>
    <w:p w:rsidR="00DB110D" w:rsidRDefault="00DB110D" w:rsidP="00686AEB"/>
    <w:p w:rsidR="00686AEB" w:rsidRPr="00AA7880" w:rsidRDefault="00686AEB" w:rsidP="00686AEB">
      <w:r>
        <w:tab/>
      </w:r>
      <w:r w:rsidR="00E54513">
        <w:t>2</w:t>
      </w:r>
      <w:r w:rsidR="007043EA">
        <w:t>.</w:t>
      </w:r>
      <w:r w:rsidR="00C22A72">
        <w:tab/>
      </w:r>
      <w:r w:rsidR="007043EA">
        <w:t>This act shall take effect</w:t>
      </w:r>
      <w:r w:rsidR="00E54513">
        <w:t xml:space="preserve"> immediately.</w:t>
      </w:r>
    </w:p>
    <w:sectPr w:rsidR="00686AEB" w:rsidRPr="00AA7880" w:rsidSect="00DB110D">
      <w:headerReference w:type="default" r:id="rId14"/>
      <w:footerReference w:type="default" r:id="rId15"/>
      <w:headerReference w:type="first" r:id="rId16"/>
      <w:footerReference w:type="first" r:id="rId17"/>
      <w:pgSz w:w="12240" w:h="20160" w:code="5"/>
      <w:pgMar w:top="1440" w:right="2520" w:bottom="1872" w:left="2880" w:header="1181" w:footer="10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A76" w:rsidRDefault="00363A76">
      <w:r>
        <w:separator/>
      </w:r>
    </w:p>
  </w:endnote>
  <w:endnote w:type="continuationSeparator" w:id="0">
    <w:p w:rsidR="00363A76" w:rsidRDefault="00363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A97" w:rsidRDefault="009A60DE" w:rsidP="009A60DE">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3EA" w:rsidRPr="00921C91" w:rsidRDefault="007043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43EA" w:rsidRPr="00921C91" w:rsidRDefault="007043EA">
    <w:pPr>
      <w:pStyle w:val="Footer"/>
      <w:rPr>
        <w:szCs w:val="18"/>
      </w:rPr>
    </w:pPr>
  </w:p>
  <w:p w:rsidR="00DB110D" w:rsidRDefault="007043EA">
    <w:pPr>
      <w:pStyle w:val="Footer"/>
      <w:rPr>
        <w:szCs w:val="18"/>
      </w:rPr>
    </w:pPr>
    <w:r>
      <w:rPr>
        <w:szCs w:val="18"/>
      </w:rPr>
      <w:tab/>
    </w:r>
    <w:r w:rsidRPr="00921C91">
      <w:rPr>
        <w:szCs w:val="18"/>
      </w:rPr>
      <w:t xml:space="preserve">Matter underlined </w:t>
    </w:r>
    <w:r w:rsidRPr="00000D7D">
      <w:rPr>
        <w:szCs w:val="18"/>
        <w:u w:val="single"/>
      </w:rPr>
      <w:t>thus</w:t>
    </w:r>
    <w:r w:rsidR="00DB110D">
      <w:rPr>
        <w:szCs w:val="18"/>
      </w:rPr>
      <w:t xml:space="preserve"> is new matter</w:t>
    </w:r>
  </w:p>
  <w:p w:rsidR="00DB110D" w:rsidRDefault="00DB110D">
    <w:pPr>
      <w:pStyle w:val="Footer"/>
      <w:rPr>
        <w:szCs w:val="18"/>
      </w:rPr>
    </w:pPr>
    <w:r>
      <w:rPr>
        <w:szCs w:val="18"/>
      </w:rPr>
      <w:tab/>
      <w:t>Matter enclosed in superscript numerals has been adopted as follows:</w:t>
    </w:r>
  </w:p>
  <w:p w:rsidR="00C22A72" w:rsidRDefault="00DB110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ASL committee amendments adopted March 17, 2021.</w:t>
    </w:r>
    <w:r w:rsidR="00C22A72">
      <w:rPr>
        <w:rFonts w:ascii="AlbertusExtraBold" w:hAnsi="AlbertusExtraBold"/>
        <w:szCs w:val="18"/>
      </w:rPr>
      <w:tab/>
    </w:r>
  </w:p>
  <w:p w:rsidR="00DB110D" w:rsidRDefault="00C22A72">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March 25, 2021.</w:t>
    </w:r>
  </w:p>
  <w:p w:rsidR="00C22A72" w:rsidRPr="00C22A72" w:rsidRDefault="00C22A72">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A76" w:rsidRDefault="00363A76">
      <w:r>
        <w:separator/>
      </w:r>
    </w:p>
  </w:footnote>
  <w:footnote w:type="continuationSeparator" w:id="0">
    <w:p w:rsidR="00363A76" w:rsidRDefault="00363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45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4CDD" w:rsidRDefault="00AA4CDD" w:rsidP="00AA4CDD">
    <w:pPr>
      <w:pStyle w:val="bpuHeadSpon"/>
    </w:pPr>
    <w:r w:rsidRPr="00AA4CDD">
      <w:rPr>
        <w:rStyle w:val="bpuHeadSponChar"/>
      </w:rPr>
      <w:t>A5373</w:t>
    </w:r>
    <w:r>
      <w:t xml:space="preserve"> </w:t>
    </w:r>
    <w:r w:rsidR="00C22A72">
      <w:t>[2R]</w:t>
    </w:r>
    <w:r w:rsidR="00DB110D">
      <w:t xml:space="preserve"> </w:t>
    </w:r>
    <w:r>
      <w:t>MOEN</w:t>
    </w:r>
    <w:r w:rsidR="00900A97">
      <w:t>, VERRELLI</w:t>
    </w:r>
  </w:p>
  <w:p w:rsidR="00AA4CDD" w:rsidRDefault="00AA4CDD" w:rsidP="00AA4CDD">
    <w:pPr>
      <w:pStyle w:val="bpuHeadSpon"/>
    </w:pPr>
    <w:r>
      <w:fldChar w:fldCharType="begin"/>
    </w:r>
    <w:r>
      <w:instrText xml:space="preserve"> PAGE  \* MERGEFORMAT </w:instrText>
    </w:r>
    <w:r>
      <w:fldChar w:fldCharType="separate"/>
    </w:r>
    <w:r w:rsidR="00E34520">
      <w:rPr>
        <w:noProof/>
      </w:rPr>
      <w:t>6</w:t>
    </w:r>
    <w:r>
      <w:fldChar w:fldCharType="end"/>
    </w:r>
  </w:p>
  <w:p w:rsidR="00AA4CDD" w:rsidRDefault="00AA4CDD" w:rsidP="00AA4C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4CDD" w:rsidRDefault="00AA4CDD" w:rsidP="00AA4CDD">
    <w:pPr>
      <w:pStyle w:val="bpuHeadSpon"/>
    </w:pPr>
    <w:r w:rsidRPr="00AA4CDD">
      <w:rPr>
        <w:rStyle w:val="bpuHeadSponChar"/>
      </w:rPr>
      <w:t>A5373</w:t>
    </w:r>
    <w:r>
      <w:t xml:space="preserve"> </w:t>
    </w:r>
    <w:r w:rsidR="00C22A72">
      <w:t>[2R]</w:t>
    </w:r>
    <w:r w:rsidR="00DB110D">
      <w:t xml:space="preserve"> </w:t>
    </w:r>
    <w:r>
      <w:t>MOEN</w:t>
    </w:r>
    <w:r w:rsidR="00900A97">
      <w:t>, VERRELLI</w:t>
    </w:r>
  </w:p>
  <w:p w:rsidR="00AA4CDD" w:rsidRDefault="00AA4CDD" w:rsidP="00AA4CDD">
    <w:pPr>
      <w:pStyle w:val="bpuHeadSpon"/>
    </w:pPr>
    <w:r>
      <w:fldChar w:fldCharType="begin"/>
    </w:r>
    <w:r>
      <w:instrText xml:space="preserve"> PAGE  \* MERGEFORMAT </w:instrText>
    </w:r>
    <w:r>
      <w:fldChar w:fldCharType="separate"/>
    </w:r>
    <w:r w:rsidR="00E34520">
      <w:rPr>
        <w:noProof/>
      </w:rPr>
      <w:t>2</w:t>
    </w:r>
    <w:r>
      <w:fldChar w:fldCharType="end"/>
    </w:r>
  </w:p>
  <w:p w:rsidR="00AA4CDD" w:rsidRDefault="00AA4CDD" w:rsidP="00AA4C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A76"/>
    <w:rsid w:val="000051BD"/>
    <w:rsid w:val="0001544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19B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199B"/>
    <w:rsid w:val="002720E8"/>
    <w:rsid w:val="00274A65"/>
    <w:rsid w:val="00275293"/>
    <w:rsid w:val="002776B0"/>
    <w:rsid w:val="00286C7E"/>
    <w:rsid w:val="002A1029"/>
    <w:rsid w:val="002A3A1A"/>
    <w:rsid w:val="002A4692"/>
    <w:rsid w:val="002A51BA"/>
    <w:rsid w:val="002B2E26"/>
    <w:rsid w:val="002B3FE6"/>
    <w:rsid w:val="002B71C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A76"/>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C86"/>
    <w:rsid w:val="0045118A"/>
    <w:rsid w:val="00455D51"/>
    <w:rsid w:val="00456BF9"/>
    <w:rsid w:val="00461057"/>
    <w:rsid w:val="004704A8"/>
    <w:rsid w:val="00471102"/>
    <w:rsid w:val="00471F18"/>
    <w:rsid w:val="00484144"/>
    <w:rsid w:val="00484C19"/>
    <w:rsid w:val="00485866"/>
    <w:rsid w:val="00490D0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5E0"/>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3EA"/>
    <w:rsid w:val="00707CD3"/>
    <w:rsid w:val="00716BB9"/>
    <w:rsid w:val="007256D1"/>
    <w:rsid w:val="007279FD"/>
    <w:rsid w:val="00733360"/>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867"/>
    <w:rsid w:val="00841D2C"/>
    <w:rsid w:val="00845F3C"/>
    <w:rsid w:val="008461B8"/>
    <w:rsid w:val="008462F1"/>
    <w:rsid w:val="00847EF1"/>
    <w:rsid w:val="008538FA"/>
    <w:rsid w:val="008573B0"/>
    <w:rsid w:val="00861A84"/>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0A97"/>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E98"/>
    <w:rsid w:val="00982770"/>
    <w:rsid w:val="009835D4"/>
    <w:rsid w:val="009865D4"/>
    <w:rsid w:val="00997152"/>
    <w:rsid w:val="009972CD"/>
    <w:rsid w:val="009A0E9C"/>
    <w:rsid w:val="009A45DA"/>
    <w:rsid w:val="009A60DE"/>
    <w:rsid w:val="009B06D2"/>
    <w:rsid w:val="009B34EC"/>
    <w:rsid w:val="009B5D67"/>
    <w:rsid w:val="009B6176"/>
    <w:rsid w:val="009C0D22"/>
    <w:rsid w:val="009C0E1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6B0"/>
    <w:rsid w:val="00A6251B"/>
    <w:rsid w:val="00A63C9F"/>
    <w:rsid w:val="00A6754E"/>
    <w:rsid w:val="00A70F58"/>
    <w:rsid w:val="00A72987"/>
    <w:rsid w:val="00A7346B"/>
    <w:rsid w:val="00A84C4F"/>
    <w:rsid w:val="00A932A1"/>
    <w:rsid w:val="00A96E06"/>
    <w:rsid w:val="00AA4CDD"/>
    <w:rsid w:val="00AA6197"/>
    <w:rsid w:val="00AA6C70"/>
    <w:rsid w:val="00AB16FD"/>
    <w:rsid w:val="00AB4813"/>
    <w:rsid w:val="00AC4BBE"/>
    <w:rsid w:val="00AC6466"/>
    <w:rsid w:val="00AC7639"/>
    <w:rsid w:val="00AD08BB"/>
    <w:rsid w:val="00AD0EC0"/>
    <w:rsid w:val="00AD219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85E"/>
    <w:rsid w:val="00B52146"/>
    <w:rsid w:val="00B52162"/>
    <w:rsid w:val="00B56A6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6A2"/>
    <w:rsid w:val="00C04F4D"/>
    <w:rsid w:val="00C12E48"/>
    <w:rsid w:val="00C13D14"/>
    <w:rsid w:val="00C15F53"/>
    <w:rsid w:val="00C22A72"/>
    <w:rsid w:val="00C23F09"/>
    <w:rsid w:val="00C25356"/>
    <w:rsid w:val="00C328D0"/>
    <w:rsid w:val="00C46BC1"/>
    <w:rsid w:val="00C51AB7"/>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10D"/>
    <w:rsid w:val="00DB6AA2"/>
    <w:rsid w:val="00DE10D1"/>
    <w:rsid w:val="00DE2514"/>
    <w:rsid w:val="00DE6851"/>
    <w:rsid w:val="00DF03EE"/>
    <w:rsid w:val="00DF402F"/>
    <w:rsid w:val="00E01B71"/>
    <w:rsid w:val="00E05CC9"/>
    <w:rsid w:val="00E15573"/>
    <w:rsid w:val="00E25A5B"/>
    <w:rsid w:val="00E34520"/>
    <w:rsid w:val="00E373C7"/>
    <w:rsid w:val="00E4267B"/>
    <w:rsid w:val="00E42F13"/>
    <w:rsid w:val="00E452DF"/>
    <w:rsid w:val="00E543CF"/>
    <w:rsid w:val="00E54513"/>
    <w:rsid w:val="00E546FD"/>
    <w:rsid w:val="00E608F1"/>
    <w:rsid w:val="00E611B9"/>
    <w:rsid w:val="00E7144F"/>
    <w:rsid w:val="00E73D74"/>
    <w:rsid w:val="00E76A79"/>
    <w:rsid w:val="00E80692"/>
    <w:rsid w:val="00E80C24"/>
    <w:rsid w:val="00E93836"/>
    <w:rsid w:val="00EA5299"/>
    <w:rsid w:val="00EA7507"/>
    <w:rsid w:val="00EA7C16"/>
    <w:rsid w:val="00EC5281"/>
    <w:rsid w:val="00EC791D"/>
    <w:rsid w:val="00EC7CA6"/>
    <w:rsid w:val="00ED3C5D"/>
    <w:rsid w:val="00ED4553"/>
    <w:rsid w:val="00ED4CC9"/>
    <w:rsid w:val="00F00D08"/>
    <w:rsid w:val="00F1350D"/>
    <w:rsid w:val="00F15583"/>
    <w:rsid w:val="00F17C18"/>
    <w:rsid w:val="00F200EE"/>
    <w:rsid w:val="00F22481"/>
    <w:rsid w:val="00F2542E"/>
    <w:rsid w:val="00F27278"/>
    <w:rsid w:val="00F31836"/>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EFA1BD-3E55-4310-B310-37CBD1F30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A4CDD"/>
  </w:style>
  <w:style w:type="paragraph" w:styleId="BalloonText">
    <w:name w:val="Balloon Text"/>
    <w:basedOn w:val="Normal"/>
    <w:link w:val="BalloonTextChar"/>
    <w:semiHidden/>
    <w:unhideWhenUsed/>
    <w:rsid w:val="00C046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46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8BE1D-6983-40B6-A197-569A7FB63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2237</Words>
  <Characters>11515</Characters>
  <Application>Microsoft Office Word</Application>
  <DocSecurity>0</DocSecurity>
  <Lines>244</Lines>
  <Paragraphs>51</Paragraphs>
  <ScaleCrop>false</ScaleCrop>
  <HeadingPairs>
    <vt:vector size="2" baseType="variant">
      <vt:variant>
        <vt:lpstr>Title</vt:lpstr>
      </vt:variant>
      <vt:variant>
        <vt:i4>1</vt:i4>
      </vt:variant>
    </vt:vector>
  </HeadingPairs>
  <TitlesOfParts>
    <vt:vector size="1" baseType="lpstr">
      <vt:lpstr>A5373 1R</vt:lpstr>
    </vt:vector>
  </TitlesOfParts>
  <Manager>R230</Manager>
  <Company>NJ Office of Legislative Services</Company>
  <LinksUpToDate>false</LinksUpToDate>
  <CharactersWithSpaces>13768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A5373 2R</dc:title>
  <dc:subject/>
  <dc:creator>Assemblyman  MOEN</dc:creator>
  <cp:keywords>A5373|6|SG |310|305|223|!|0|</cp:keywords>
  <dc:description>INTRODUCED FEBRUARY 23, 2021_x000d_
Amended 3/17/21_x000d_
Amended 3/25/21</dc:description>
  <cp:lastModifiedBy>Todaro, Vivian</cp:lastModifiedBy>
  <cp:revision>2</cp:revision>
  <cp:lastPrinted>2021-03-26T15:05:00Z</cp:lastPrinted>
  <dcterms:created xsi:type="dcterms:W3CDTF">2021-03-26T15:05:00Z</dcterms:created>
  <dcterms:modified xsi:type="dcterms:W3CDTF">2021-03-26T15:05:00Z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