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9D13A8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COMMERCE AND ECONOMIC DEVELOPMENT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9D13A8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5389</w:t>
      </w:r>
      <w:r w:rsidR="0063703D" w:rsidRPr="00ED5E27">
        <w:rPr>
          <w:b/>
          <w:sz w:val="36"/>
          <w:szCs w:val="36"/>
        </w:rPr>
        <w:t xml:space="preserve"> </w:t>
      </w:r>
    </w:p>
    <w:p w:rsidR="009D13A8" w:rsidRDefault="009D13A8" w:rsidP="00ED5E27">
      <w:pPr>
        <w:pStyle w:val="TopofPage1"/>
        <w:rPr>
          <w:sz w:val="24"/>
          <w:szCs w:val="36"/>
        </w:rPr>
      </w:pPr>
    </w:p>
    <w:p w:rsidR="009D13A8" w:rsidRPr="009D13A8" w:rsidRDefault="009D13A8" w:rsidP="00ED5E27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9D13A8">
        <w:rPr>
          <w:caps/>
          <w:szCs w:val="24"/>
        </w:rPr>
        <w:t>MARCH 8, 2021</w:t>
      </w:r>
    </w:p>
    <w:p w:rsidR="004144CF" w:rsidRDefault="004144CF" w:rsidP="0083060A"/>
    <w:p w:rsidR="00655CA3" w:rsidRDefault="009811BA" w:rsidP="0083060A">
      <w:r>
        <w:tab/>
        <w:t>The Assembly Commerce and Economic Development Committee reports favorably and with committee amendments Assembly Bill No. 5389.</w:t>
      </w:r>
    </w:p>
    <w:p w:rsidR="00CC57DC" w:rsidRPr="005E2142" w:rsidRDefault="00CC57DC" w:rsidP="00CC57DC">
      <w:pPr>
        <w:rPr>
          <w:spacing w:val="4"/>
          <w:szCs w:val="24"/>
        </w:rPr>
      </w:pPr>
      <w:r>
        <w:tab/>
      </w:r>
      <w:r w:rsidR="002C2B03" w:rsidRPr="005E2142">
        <w:rPr>
          <w:spacing w:val="4"/>
          <w:szCs w:val="24"/>
        </w:rPr>
        <w:t>This bill</w:t>
      </w:r>
      <w:r w:rsidR="00E90E07">
        <w:rPr>
          <w:spacing w:val="4"/>
          <w:szCs w:val="24"/>
        </w:rPr>
        <w:t>, as amended,</w:t>
      </w:r>
      <w:r w:rsidR="002C2B03" w:rsidRPr="005E2142">
        <w:rPr>
          <w:spacing w:val="4"/>
          <w:szCs w:val="24"/>
        </w:rPr>
        <w:t xml:space="preserve"> allows </w:t>
      </w:r>
      <w:r w:rsidR="002C2B03">
        <w:rPr>
          <w:spacing w:val="4"/>
          <w:szCs w:val="24"/>
        </w:rPr>
        <w:t>corporation business tax and</w:t>
      </w:r>
      <w:r w:rsidR="002C2B03" w:rsidRPr="005E2142">
        <w:rPr>
          <w:spacing w:val="4"/>
          <w:szCs w:val="24"/>
        </w:rPr>
        <w:t xml:space="preserve"> gross income tax credit</w:t>
      </w:r>
      <w:r w:rsidR="002C2B03">
        <w:rPr>
          <w:spacing w:val="4"/>
          <w:szCs w:val="24"/>
        </w:rPr>
        <w:t>s</w:t>
      </w:r>
      <w:r w:rsidR="002C2B03" w:rsidRPr="005E2142">
        <w:rPr>
          <w:spacing w:val="4"/>
          <w:szCs w:val="24"/>
        </w:rPr>
        <w:t xml:space="preserve"> for nonresidential</w:t>
      </w:r>
      <w:r w:rsidR="002C2B03">
        <w:rPr>
          <w:spacing w:val="4"/>
          <w:szCs w:val="24"/>
        </w:rPr>
        <w:t xml:space="preserve"> and multifamily</w:t>
      </w:r>
      <w:r w:rsidR="002C2B03" w:rsidRPr="005E2142">
        <w:rPr>
          <w:spacing w:val="4"/>
          <w:szCs w:val="24"/>
        </w:rPr>
        <w:t xml:space="preserve"> building improvement expenses to reduce the spread of COVID-19. The credit will be allowed for expenditures made during </w:t>
      </w:r>
      <w:r w:rsidR="002C2B03">
        <w:rPr>
          <w:spacing w:val="4"/>
          <w:szCs w:val="24"/>
        </w:rPr>
        <w:t xml:space="preserve">calendar years </w:t>
      </w:r>
      <w:r w:rsidR="002C2B03" w:rsidRPr="005E2142">
        <w:rPr>
          <w:spacing w:val="4"/>
          <w:szCs w:val="24"/>
        </w:rPr>
        <w:t>2020, 2021, and 2022</w:t>
      </w:r>
      <w:r w:rsidRPr="005E2142">
        <w:rPr>
          <w:spacing w:val="4"/>
          <w:szCs w:val="24"/>
        </w:rPr>
        <w:t xml:space="preserve">. </w:t>
      </w:r>
    </w:p>
    <w:p w:rsidR="00CC57DC" w:rsidRDefault="00CC57DC" w:rsidP="00CC57DC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5E2142">
        <w:rPr>
          <w:spacing w:val="4"/>
          <w:szCs w:val="24"/>
        </w:rPr>
        <w:tab/>
        <w:t xml:space="preserve">The following expenditures will be includable in calculation of the credit: expenditures for (1) bi-polar ionization and ultraviolet lighting to disinfect indoor air and surfaces, including in elevators and work areas; (2) infrared thermometers for screening visitors in common areas; (3) transparent sneeze guards or shields; (4) touchless entryway and security; (5) ventilation; and (6) other </w:t>
      </w:r>
      <w:r>
        <w:rPr>
          <w:spacing w:val="4"/>
          <w:szCs w:val="24"/>
        </w:rPr>
        <w:t xml:space="preserve">materials, supplies, and </w:t>
      </w:r>
      <w:r w:rsidRPr="005E2142">
        <w:rPr>
          <w:spacing w:val="4"/>
          <w:szCs w:val="24"/>
        </w:rPr>
        <w:t xml:space="preserve">equipment to reduce the spread of COVID-19 and necessary to create a safe environment for </w:t>
      </w:r>
      <w:r w:rsidR="0080106C">
        <w:rPr>
          <w:spacing w:val="4"/>
          <w:szCs w:val="24"/>
        </w:rPr>
        <w:t>building occupants</w:t>
      </w:r>
      <w:r w:rsidRPr="005E2142">
        <w:rPr>
          <w:spacing w:val="4"/>
          <w:szCs w:val="24"/>
        </w:rPr>
        <w:t>.</w:t>
      </w:r>
    </w:p>
    <w:p w:rsidR="00CC57DC" w:rsidRPr="005E2142" w:rsidRDefault="00CC57DC" w:rsidP="00CC57DC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5E2142">
        <w:rPr>
          <w:spacing w:val="4"/>
          <w:szCs w:val="24"/>
        </w:rPr>
        <w:tab/>
        <w:t xml:space="preserve">The amount of credit allowed will be equal to: 75 percent of the taxpayer’s expenditures for a </w:t>
      </w:r>
      <w:r w:rsidR="0080106C">
        <w:rPr>
          <w:spacing w:val="4"/>
          <w:szCs w:val="24"/>
        </w:rPr>
        <w:t>location</w:t>
      </w:r>
      <w:r w:rsidRPr="005E2142">
        <w:rPr>
          <w:spacing w:val="4"/>
          <w:szCs w:val="24"/>
        </w:rPr>
        <w:t xml:space="preserve"> of less than 30,000 square feet, but the credit for such expenditures cannot exceed $100,000; and 50 percent of the taxpayer’s expenditures for a </w:t>
      </w:r>
      <w:r w:rsidR="0080106C">
        <w:rPr>
          <w:spacing w:val="4"/>
          <w:szCs w:val="24"/>
        </w:rPr>
        <w:t>location</w:t>
      </w:r>
      <w:r w:rsidRPr="005E2142">
        <w:rPr>
          <w:spacing w:val="4"/>
          <w:szCs w:val="24"/>
        </w:rPr>
        <w:t xml:space="preserve"> of 30,000 square feet or more, but the credit for such expenditures cannot exceed $250,000.</w:t>
      </w:r>
      <w:r>
        <w:rPr>
          <w:spacing w:val="4"/>
          <w:szCs w:val="24"/>
        </w:rPr>
        <w:t xml:space="preserve"> </w:t>
      </w:r>
      <w:r w:rsidRPr="003B4440">
        <w:rPr>
          <w:spacing w:val="4"/>
          <w:szCs w:val="24"/>
        </w:rPr>
        <w:t xml:space="preserve">A taxpayer that claims a credit pursuant to this </w:t>
      </w:r>
      <w:r>
        <w:rPr>
          <w:spacing w:val="4"/>
          <w:szCs w:val="24"/>
        </w:rPr>
        <w:t>bill will be required to add back into their calculation of income the</w:t>
      </w:r>
      <w:r w:rsidRPr="003B4440">
        <w:rPr>
          <w:spacing w:val="4"/>
          <w:szCs w:val="24"/>
        </w:rPr>
        <w:t xml:space="preserve"> amount of any expenditures </w:t>
      </w:r>
      <w:r>
        <w:rPr>
          <w:spacing w:val="4"/>
          <w:szCs w:val="24"/>
        </w:rPr>
        <w:t xml:space="preserve">that the taxpayer </w:t>
      </w:r>
      <w:r w:rsidRPr="003B4440">
        <w:rPr>
          <w:spacing w:val="4"/>
          <w:szCs w:val="24"/>
        </w:rPr>
        <w:t>deducted</w:t>
      </w:r>
      <w:r>
        <w:rPr>
          <w:spacing w:val="4"/>
          <w:szCs w:val="24"/>
        </w:rPr>
        <w:t xml:space="preserve">. This requirement ensures that the taxpayer does not get the double benefit of being allowed to deduct expenses from income and get a credit against their tax liability to cover the cost of those expenses. </w:t>
      </w:r>
    </w:p>
    <w:p w:rsidR="006C580F" w:rsidRPr="00EA0CC2" w:rsidRDefault="00252ECF" w:rsidP="00CC57DC">
      <w:r>
        <w:tab/>
        <w:t xml:space="preserve">As amended and reported by the committee Assembly Bill No. 5389 is identical to Senate Bill No. 3305 (1R), which also was amended and reported by the committee. </w:t>
      </w:r>
      <w:r w:rsidR="00EA0CC2">
        <w:br w:type="page"/>
      </w:r>
    </w:p>
    <w:p w:rsidR="00CC57DC" w:rsidRDefault="00CC57DC" w:rsidP="00CC57DC">
      <w:r>
        <w:rPr>
          <w:u w:val="double"/>
        </w:rPr>
        <w:lastRenderedPageBreak/>
        <w:t>COMMITTEE AMENDMENTS</w:t>
      </w:r>
      <w:r>
        <w:t>:</w:t>
      </w:r>
    </w:p>
    <w:p w:rsidR="00CC57DC" w:rsidRDefault="00CC57DC" w:rsidP="00CC57DC">
      <w:r>
        <w:tab/>
        <w:t>The committee amended the bill to:</w:t>
      </w:r>
    </w:p>
    <w:p w:rsidR="00CC57DC" w:rsidRDefault="00CC57DC" w:rsidP="00CC57DC">
      <w:r>
        <w:tab/>
        <w:t>- add a provision allowing tax credits for corporation business taxpayers;</w:t>
      </w:r>
    </w:p>
    <w:p w:rsidR="002C2B03" w:rsidRDefault="002C2B03" w:rsidP="00CC57DC">
      <w:r>
        <w:tab/>
        <w:t>- allow a credit for multifamily buildings, in addition to allowing a credit for nonresidential buildings;</w:t>
      </w:r>
    </w:p>
    <w:p w:rsidR="00CC57DC" w:rsidRDefault="00CC57DC" w:rsidP="00CC57DC">
      <w:r>
        <w:tab/>
        <w:t>- allow the carryforward of unused credit for up to seven years;</w:t>
      </w:r>
    </w:p>
    <w:p w:rsidR="00CC57DC" w:rsidRDefault="00CC57DC" w:rsidP="00CC57DC">
      <w:pPr>
        <w:rPr>
          <w:spacing w:val="4"/>
          <w:szCs w:val="24"/>
        </w:rPr>
      </w:pPr>
      <w:r>
        <w:rPr>
          <w:spacing w:val="4"/>
          <w:szCs w:val="24"/>
        </w:rPr>
        <w:tab/>
        <w:t>- require a taxpayer to add back into their calculation of income the</w:t>
      </w:r>
      <w:r w:rsidRPr="003B4440">
        <w:rPr>
          <w:spacing w:val="4"/>
          <w:szCs w:val="24"/>
        </w:rPr>
        <w:t xml:space="preserve"> amount of any expenditures</w:t>
      </w:r>
      <w:r>
        <w:rPr>
          <w:spacing w:val="4"/>
          <w:szCs w:val="24"/>
        </w:rPr>
        <w:t xml:space="preserve"> outlined in the bill that the taxpayer </w:t>
      </w:r>
      <w:r w:rsidRPr="003B4440">
        <w:rPr>
          <w:spacing w:val="4"/>
          <w:szCs w:val="24"/>
        </w:rPr>
        <w:t>deducted</w:t>
      </w:r>
      <w:r>
        <w:rPr>
          <w:spacing w:val="4"/>
          <w:szCs w:val="24"/>
        </w:rPr>
        <w:t>; and</w:t>
      </w:r>
    </w:p>
    <w:p w:rsidR="00F87F91" w:rsidRPr="00EA0CC2" w:rsidRDefault="00CC57DC" w:rsidP="0083060A">
      <w:pPr>
        <w:rPr>
          <w:spacing w:val="4"/>
          <w:szCs w:val="24"/>
        </w:rPr>
      </w:pPr>
      <w:r>
        <w:rPr>
          <w:spacing w:val="4"/>
          <w:szCs w:val="24"/>
        </w:rPr>
        <w:tab/>
        <w:t>- allow any immediately issued regulations to be in effect for 18 months, instead of 360 days.</w:t>
      </w:r>
    </w:p>
    <w:sectPr w:rsidR="00F87F91" w:rsidRPr="00EA0CC2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13A8" w:rsidRDefault="009D13A8">
      <w:r>
        <w:separator/>
      </w:r>
    </w:p>
  </w:endnote>
  <w:endnote w:type="continuationSeparator" w:id="0">
    <w:p w:rsidR="009D13A8" w:rsidRDefault="009D13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13A8" w:rsidRDefault="009D13A8">
      <w:r>
        <w:separator/>
      </w:r>
    </w:p>
  </w:footnote>
  <w:footnote w:type="continuationSeparator" w:id="0">
    <w:p w:rsidR="009D13A8" w:rsidRDefault="009D13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EA0CC2" w:rsidP="00EA0CC2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6174A8">
      <w:rPr>
        <w:noProof/>
      </w:rPr>
      <w:t>2</w:t>
    </w:r>
    <w:r>
      <w:fldChar w:fldCharType="end"/>
    </w:r>
  </w:p>
  <w:p w:rsidR="00EA0CC2" w:rsidRDefault="00EA0CC2" w:rsidP="00EA0CC2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3A8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A5D2C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2435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52ECF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C2B03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3D02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1AF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10DC"/>
    <w:rsid w:val="005F5E32"/>
    <w:rsid w:val="00607913"/>
    <w:rsid w:val="00607F92"/>
    <w:rsid w:val="006174A8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580F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976FD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0106C"/>
    <w:rsid w:val="00811B32"/>
    <w:rsid w:val="00812B37"/>
    <w:rsid w:val="00817204"/>
    <w:rsid w:val="00820257"/>
    <w:rsid w:val="00821D60"/>
    <w:rsid w:val="00822E2E"/>
    <w:rsid w:val="008260F2"/>
    <w:rsid w:val="0083060A"/>
    <w:rsid w:val="00841155"/>
    <w:rsid w:val="00847342"/>
    <w:rsid w:val="008515FD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11BA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D13A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5846"/>
    <w:rsid w:val="00A577F9"/>
    <w:rsid w:val="00A654F0"/>
    <w:rsid w:val="00A65CE7"/>
    <w:rsid w:val="00A73D25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3E61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208E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C57DC"/>
    <w:rsid w:val="00CD2D9C"/>
    <w:rsid w:val="00CD5034"/>
    <w:rsid w:val="00CE1E3A"/>
    <w:rsid w:val="00CE5315"/>
    <w:rsid w:val="00CE74A8"/>
    <w:rsid w:val="00CF030F"/>
    <w:rsid w:val="00CF18CB"/>
    <w:rsid w:val="00CF27F3"/>
    <w:rsid w:val="00CF69F0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0E07"/>
    <w:rsid w:val="00E941A7"/>
    <w:rsid w:val="00E97A05"/>
    <w:rsid w:val="00E97C34"/>
    <w:rsid w:val="00EA034A"/>
    <w:rsid w:val="00EA09B8"/>
    <w:rsid w:val="00EA0CC2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87F91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2529"/>
    <o:shapelayout v:ext="edit">
      <o:idmap v:ext="edit" data="1"/>
    </o:shapelayout>
  </w:shapeDefaults>
  <w:decimalSymbol w:val="."/>
  <w:listSeparator w:val=","/>
  <w15:docId w15:val="{509057A8-C7AF-4878-8ABC-E87ED0317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2</Pages>
  <Words>397</Words>
  <Characters>2131</Characters>
  <Application>Microsoft Office Word</Application>
  <DocSecurity>0</DocSecurity>
  <Lines>56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A5389 ACE Statement 3/8/21</vt:lpstr>
    </vt:vector>
  </TitlesOfParts>
  <Manager>R230</Manager>
  <Company>NJ OLS DMU</Company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A5389 ACE Statement 3/8/21</dc:title>
  <dc:subject/>
  <dc:creator>Assembly ACE</dc:creator>
  <cp:keywords>A5389|2|RF |298|0|0|!||</cp:keywords>
  <dc:description/>
  <cp:lastModifiedBy>Bektas, Brenda</cp:lastModifiedBy>
  <cp:revision>2</cp:revision>
  <cp:lastPrinted>1999-09-30T17:29:00Z</cp:lastPrinted>
  <dcterms:created xsi:type="dcterms:W3CDTF">2021-03-09T17:25:00Z</dcterms:created>
  <dcterms:modified xsi:type="dcterms:W3CDTF">2021-03-09T17:25:00Z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