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BF0A72" w14:textId="4A7973F3" w:rsidR="00454441" w:rsidRDefault="00454441" w:rsidP="00454441">
      <w:pPr>
        <w:pStyle w:val="bpuBill"/>
      </w:pPr>
      <w:bookmarkStart w:id="0" w:name="bpuFrontPg"/>
      <w:bookmarkEnd w:id="0"/>
      <w:r>
        <w:t xml:space="preserve">ASSEMBLY, No. 5486 </w:t>
      </w:r>
    </w:p>
    <w:p w14:paraId="30620D71" w14:textId="70ED4009" w:rsidR="00454441" w:rsidRPr="009D38FF" w:rsidRDefault="00454441" w:rsidP="00454441">
      <w:pPr>
        <w:pStyle w:val="bpuWpGraphic"/>
      </w:pPr>
      <w:r>
        <w:object w:dxaOrig="8985" w:dyaOrig="255" w14:anchorId="3CAA6B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34432" r:id="rId8"/>
        </w:object>
      </w:r>
    </w:p>
    <w:p w14:paraId="0A9B99B0" w14:textId="77777777" w:rsidR="00454441" w:rsidRDefault="00454441" w:rsidP="00454441">
      <w:pPr>
        <w:pStyle w:val="bpuState"/>
      </w:pPr>
      <w:r>
        <w:t>STATE OF NEW JERSEY</w:t>
      </w:r>
    </w:p>
    <w:p w14:paraId="0B83DB7D" w14:textId="77777777" w:rsidR="00454441" w:rsidRDefault="00454441" w:rsidP="00454441">
      <w:pPr>
        <w:pStyle w:val="bpuLegislature"/>
      </w:pPr>
      <w:r>
        <w:t>219th LEGISLATURE</w:t>
      </w:r>
    </w:p>
    <w:p w14:paraId="3B2647D6" w14:textId="6A9F028E" w:rsidR="00454441" w:rsidRDefault="00454441" w:rsidP="00454441">
      <w:pPr>
        <w:pStyle w:val="bpuWpGraphic"/>
      </w:pPr>
      <w:r>
        <w:object w:dxaOrig="8985" w:dyaOrig="255" w14:anchorId="5C880E72">
          <v:shape id="_x0000_i1026" type="#_x0000_t75" style="width:6in;height:12pt" o:ole="">
            <v:imagedata r:id="rId7" o:title=""/>
          </v:shape>
          <o:OLEObject Type="Embed" ProgID="WPWin6.1" ShapeID="_x0000_i1026" DrawAspect="Content" ObjectID="_1682234433" r:id="rId9"/>
        </w:object>
      </w:r>
      <w:r>
        <w:t xml:space="preserve">  </w:t>
      </w:r>
    </w:p>
    <w:p w14:paraId="2D828F71" w14:textId="77777777" w:rsidR="00454441" w:rsidRDefault="00454441" w:rsidP="00454441">
      <w:pPr>
        <w:pStyle w:val="bpuIntro"/>
      </w:pPr>
      <w:r>
        <w:t>INTRODUCED MARCH 17, 2021</w:t>
      </w:r>
    </w:p>
    <w:p w14:paraId="2D8730E0" w14:textId="77777777" w:rsidR="00454441" w:rsidRDefault="00454441" w:rsidP="00454441">
      <w:pPr>
        <w:pStyle w:val="bpuIntro"/>
      </w:pPr>
    </w:p>
    <w:p w14:paraId="3C997C74" w14:textId="77777777" w:rsidR="00454441" w:rsidRDefault="00454441" w:rsidP="00454441">
      <w:pPr>
        <w:pStyle w:val="bpuIntro"/>
        <w:sectPr w:rsidR="00454441" w:rsidSect="00C9720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BECCF1F" w14:textId="77777777" w:rsidR="00454441" w:rsidRDefault="00454441" w:rsidP="00454441">
      <w:pPr>
        <w:pStyle w:val="bpuIntro"/>
      </w:pPr>
    </w:p>
    <w:p w14:paraId="3252E33E" w14:textId="77777777" w:rsidR="00454441" w:rsidRDefault="00454441" w:rsidP="00454441">
      <w:pPr>
        <w:pStyle w:val="bpuSponsor"/>
      </w:pPr>
      <w:r>
        <w:t>Sponsored by:</w:t>
      </w:r>
    </w:p>
    <w:p w14:paraId="04366E66" w14:textId="77777777" w:rsidR="00454441" w:rsidRDefault="00454441" w:rsidP="00454441">
      <w:pPr>
        <w:pStyle w:val="bpuSponsor"/>
      </w:pPr>
      <w:r>
        <w:t>Assemblyman  RONALD S. DANCER</w:t>
      </w:r>
    </w:p>
    <w:p w14:paraId="4616731C" w14:textId="77777777" w:rsidR="00454441" w:rsidRDefault="00454441" w:rsidP="00454441">
      <w:pPr>
        <w:pStyle w:val="bpuSponsor"/>
      </w:pPr>
      <w:r>
        <w:t>District 12 (Burlington, Middlesex, Monmouth and Ocean)</w:t>
      </w:r>
    </w:p>
    <w:p w14:paraId="5E183C93" w14:textId="77777777" w:rsidR="00454441" w:rsidRDefault="00454441" w:rsidP="00454441">
      <w:pPr>
        <w:pStyle w:val="bpuSponsor"/>
      </w:pPr>
    </w:p>
    <w:p w14:paraId="2D35F84D" w14:textId="0ED7F79D" w:rsidR="00454441" w:rsidRDefault="00C97200" w:rsidP="00C97200">
      <w:pPr>
        <w:pStyle w:val="bpuSponsor"/>
      </w:pPr>
      <w:r>
        <w:t>Co-Sponsored by:</w:t>
      </w:r>
    </w:p>
    <w:p w14:paraId="0E42EF38" w14:textId="3C360C53" w:rsidR="00C97200" w:rsidRDefault="00C97200" w:rsidP="00C97200">
      <w:pPr>
        <w:pStyle w:val="bpuSponsor"/>
      </w:pPr>
      <w:r w:rsidRPr="00C97200">
        <w:t>Assemblywoman Stanfield</w:t>
      </w:r>
    </w:p>
    <w:p w14:paraId="0083A924" w14:textId="55FC8D83" w:rsidR="00C97200" w:rsidRDefault="00C97200" w:rsidP="00C97200"/>
    <w:p w14:paraId="54CDC6B6" w14:textId="77777777" w:rsidR="00C97200" w:rsidRPr="00C97200" w:rsidRDefault="00C97200" w:rsidP="00C97200"/>
    <w:p w14:paraId="6EB388F1" w14:textId="77777777" w:rsidR="00454441" w:rsidRDefault="00454441" w:rsidP="00454441">
      <w:pPr>
        <w:pStyle w:val="bpuSponsor"/>
      </w:pPr>
    </w:p>
    <w:p w14:paraId="33BB99B9" w14:textId="77777777" w:rsidR="00454441" w:rsidRDefault="00454441" w:rsidP="00454441">
      <w:pPr>
        <w:pStyle w:val="bpuSponsor"/>
      </w:pPr>
    </w:p>
    <w:p w14:paraId="4FE7375D" w14:textId="77777777" w:rsidR="00454441" w:rsidRDefault="00454441" w:rsidP="00454441">
      <w:pPr>
        <w:pStyle w:val="bpuSponsor"/>
      </w:pPr>
      <w:r>
        <w:t>SYNOPSIS</w:t>
      </w:r>
    </w:p>
    <w:p w14:paraId="0AA4FAD6" w14:textId="77777777" w:rsidR="00454441" w:rsidRDefault="00454441" w:rsidP="00454441">
      <w:pPr>
        <w:pStyle w:val="bpuNormText"/>
      </w:pPr>
      <w:r>
        <w:tab/>
        <w:t xml:space="preserve">Increases remote work flexibility for EDA tax credit award recipients. </w:t>
      </w:r>
    </w:p>
    <w:p w14:paraId="4F1E2097" w14:textId="77777777" w:rsidR="00454441" w:rsidRDefault="00454441" w:rsidP="00454441">
      <w:pPr>
        <w:pStyle w:val="bpuNormText"/>
      </w:pPr>
    </w:p>
    <w:p w14:paraId="7C9F8D2B" w14:textId="77777777" w:rsidR="00454441" w:rsidRDefault="00454441" w:rsidP="00454441">
      <w:pPr>
        <w:pStyle w:val="bpuSponsor"/>
      </w:pPr>
      <w:r>
        <w:t xml:space="preserve">CURRENT VERSION OF TEXT </w:t>
      </w:r>
    </w:p>
    <w:p w14:paraId="3BA032E7" w14:textId="77777777" w:rsidR="00454441" w:rsidRDefault="00454441" w:rsidP="00454441">
      <w:pPr>
        <w:pStyle w:val="bpuNormText"/>
      </w:pPr>
      <w:r>
        <w:tab/>
        <w:t>As introduced.</w:t>
      </w:r>
    </w:p>
    <w:p w14:paraId="231288B5" w14:textId="0BCD9938" w:rsidR="00454441" w:rsidRDefault="00454441" w:rsidP="00454441">
      <w:pPr>
        <w:pStyle w:val="bpuNormText"/>
      </w:pPr>
      <w:r>
        <w:rPr>
          <w:noProof/>
        </w:rPr>
        <w:drawing>
          <wp:anchor distT="0" distB="0" distL="114300" distR="114300" simplePos="0" relativeHeight="251659264" behindDoc="1" locked="0" layoutInCell="1" allowOverlap="1" wp14:anchorId="697BAFE4" wp14:editId="2A7B3D4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228C5D9" w14:textId="77777777" w:rsidR="00454441" w:rsidRDefault="00454441" w:rsidP="008916EC">
      <w:pPr>
        <w:pStyle w:val="FronterPage"/>
        <w:tabs>
          <w:tab w:val="clear" w:pos="720"/>
          <w:tab w:val="clear" w:pos="1440"/>
          <w:tab w:val="clear" w:pos="2160"/>
          <w:tab w:val="clear" w:pos="2880"/>
          <w:tab w:val="clear" w:pos="3600"/>
          <w:tab w:val="clear" w:pos="4320"/>
          <w:tab w:val="clear" w:pos="5040"/>
        </w:tabs>
        <w:sectPr w:rsidR="00454441" w:rsidSect="00454441">
          <w:type w:val="continuous"/>
          <w:pgSz w:w="12240" w:h="20160" w:code="5"/>
          <w:pgMar w:top="1440" w:right="2275" w:bottom="1440" w:left="2275" w:header="72" w:footer="720" w:gutter="0"/>
          <w:pgNumType w:start="1"/>
          <w:cols w:space="720"/>
          <w:docGrid w:linePitch="360"/>
        </w:sectPr>
      </w:pPr>
      <w:bookmarkStart w:id="1" w:name="_GoBack"/>
      <w:bookmarkEnd w:id="1"/>
    </w:p>
    <w:p w14:paraId="652427F2" w14:textId="54D1C8E1" w:rsidR="00686AEB" w:rsidRPr="00677316" w:rsidRDefault="00187497" w:rsidP="003E47BA">
      <w:pPr>
        <w:pStyle w:val="HangingAnAct"/>
        <w:rPr>
          <w:rStyle w:val="HangingAnActChar"/>
        </w:rPr>
      </w:pPr>
      <w:r>
        <w:rPr>
          <w:rStyle w:val="BillHead"/>
        </w:rPr>
        <w:t>An Act</w:t>
      </w:r>
      <w:r w:rsidR="00686AEB" w:rsidRPr="006B7FA7">
        <w:rPr>
          <w:rStyle w:val="HangingAnActChar"/>
        </w:rPr>
        <w:t xml:space="preserve"> </w:t>
      </w:r>
      <w:r w:rsidR="00A936D1">
        <w:t xml:space="preserve">concerning remote work flexibility for New Jersey Economic Development Authority tax credit award recipients and amending </w:t>
      </w:r>
      <w:r w:rsidR="00A936D1" w:rsidRPr="00DD37F5">
        <w:rPr>
          <w:color w:val="000000"/>
          <w:shd w:val="clear" w:color="auto" w:fill="FFFFFF"/>
        </w:rPr>
        <w:t>P.L.2011, c.1</w:t>
      </w:r>
      <w:r w:rsidR="00A936D1" w:rsidRPr="006B467E">
        <w:rPr>
          <w:color w:val="000000"/>
          <w:shd w:val="clear" w:color="auto" w:fill="FFFFFF"/>
        </w:rPr>
        <w:t>49</w:t>
      </w:r>
      <w:r w:rsidR="00A936D1">
        <w:rPr>
          <w:color w:val="201F1E"/>
          <w:shd w:val="clear" w:color="auto" w:fill="FFFFFF"/>
        </w:rPr>
        <w:t xml:space="preserve"> and </w:t>
      </w:r>
      <w:r w:rsidR="00A936D1">
        <w:t>P.L.2020, c.156</w:t>
      </w:r>
      <w:r w:rsidR="00A40962" w:rsidRPr="00A40962">
        <w:t>.</w:t>
      </w:r>
    </w:p>
    <w:p w14:paraId="371D60E2" w14:textId="77777777" w:rsidR="000B1054" w:rsidRPr="00D71D68" w:rsidRDefault="000B1054" w:rsidP="000B1054"/>
    <w:p w14:paraId="7D1A7C24" w14:textId="77777777" w:rsidR="00686AEB" w:rsidRPr="00AA7880" w:rsidRDefault="00686AEB" w:rsidP="00686AEB">
      <w:r>
        <w:tab/>
      </w:r>
      <w:r w:rsidR="00187497">
        <w:rPr>
          <w:rStyle w:val="BillHeading2"/>
        </w:rPr>
        <w:t>Be It Enacted</w:t>
      </w:r>
      <w:r>
        <w:rPr>
          <w:rStyle w:val="BillHeading2"/>
        </w:rPr>
        <w:t xml:space="preserve"> </w:t>
      </w:r>
      <w:r w:rsidR="00187497">
        <w:rPr>
          <w:rStyle w:val="BillLanguage"/>
        </w:rPr>
        <w:t>by the Senate and General Assembly of the State of New Jersey:</w:t>
      </w:r>
    </w:p>
    <w:p w14:paraId="7C195A33" w14:textId="77777777" w:rsidR="00686AEB" w:rsidRDefault="00686AEB" w:rsidP="00686AEB"/>
    <w:p w14:paraId="3D02B78A" w14:textId="66B37B41" w:rsidR="00934F22" w:rsidRPr="006B467E" w:rsidRDefault="002E133A" w:rsidP="00DD37F5">
      <w:r>
        <w:tab/>
      </w:r>
      <w:r w:rsidR="005A5D82">
        <w:t>1.</w:t>
      </w:r>
      <w:r w:rsidR="005A5D82">
        <w:tab/>
      </w:r>
      <w:r w:rsidR="001D5BA9" w:rsidRPr="00DD37F5">
        <w:rPr>
          <w:color w:val="000000"/>
          <w:shd w:val="clear" w:color="auto" w:fill="FFFFFF"/>
        </w:rPr>
        <w:t>Section 6 of P.L.2011, c.1</w:t>
      </w:r>
      <w:r w:rsidR="001D5BA9" w:rsidRPr="006B467E">
        <w:rPr>
          <w:color w:val="000000"/>
          <w:shd w:val="clear" w:color="auto" w:fill="FFFFFF"/>
        </w:rPr>
        <w:t>49</w:t>
      </w:r>
      <w:r w:rsidR="001D5BA9" w:rsidRPr="006B467E">
        <w:rPr>
          <w:color w:val="201F1E"/>
          <w:shd w:val="clear" w:color="auto" w:fill="FFFFFF"/>
        </w:rPr>
        <w:t xml:space="preserve"> (</w:t>
      </w:r>
      <w:r w:rsidR="00934F22" w:rsidRPr="006B467E">
        <w:rPr>
          <w:color w:val="201F1E"/>
          <w:shd w:val="clear" w:color="auto" w:fill="FFFFFF"/>
        </w:rPr>
        <w:t>C.34:1B-</w:t>
      </w:r>
      <w:r w:rsidR="004A1935" w:rsidRPr="006B467E">
        <w:rPr>
          <w:color w:val="201F1E"/>
          <w:shd w:val="clear" w:color="auto" w:fill="FFFFFF"/>
        </w:rPr>
        <w:t>247</w:t>
      </w:r>
      <w:r w:rsidR="001D5BA9" w:rsidRPr="006B467E">
        <w:rPr>
          <w:color w:val="201F1E"/>
          <w:shd w:val="clear" w:color="auto" w:fill="FFFFFF"/>
        </w:rPr>
        <w:t>)</w:t>
      </w:r>
      <w:r w:rsidR="00934F22" w:rsidRPr="006B467E">
        <w:t xml:space="preserve"> is amended to read as follows: </w:t>
      </w:r>
    </w:p>
    <w:p w14:paraId="4BDC244A" w14:textId="79E8680E" w:rsidR="00B83AEB" w:rsidRPr="00CC36ED" w:rsidRDefault="00934F22" w:rsidP="006B467E">
      <w:r w:rsidRPr="00CC36ED">
        <w:tab/>
      </w:r>
      <w:r w:rsidR="005A5D82">
        <w:t>6.</w:t>
      </w:r>
      <w:r w:rsidR="005A5D82">
        <w:tab/>
      </w:r>
      <w:r w:rsidR="00B83AEB" w:rsidRPr="00DD37F5">
        <w:t>a.</w:t>
      </w:r>
      <w:r w:rsidR="005A5D82">
        <w:t xml:space="preserve"> </w:t>
      </w:r>
      <w:r w:rsidR="00B83AEB" w:rsidRPr="00DD37F5">
        <w:t xml:space="preserve"> (1)</w:t>
      </w:r>
      <w:r w:rsidR="005A5D82">
        <w:t xml:space="preserve"> </w:t>
      </w:r>
      <w:r w:rsidR="00B83AEB" w:rsidRPr="00DD37F5">
        <w:t xml:space="preserve"> The combined value of all credits approved by the authority pursuant to P.L.2007, c.346 (C.34:1B-207 et seq.) and P.L.2011, c.149 (C.34:1B-242 et al.) prior to December 31, 2013 shall not exceed $1,750,000,000, except as may be increased by the authority as set forth in paragraph (5) of subsection a. of section 35 of P.L.2009, c.90 (C.34:1B-209.3).  Following the enactment of the "New Jersey Economic Opportunity Act of 2013," P.L.2013, c.16</w:t>
      </w:r>
      <w:r w:rsidR="00B83AEB" w:rsidRPr="00CC36ED">
        <w:t>1 (C.52:27D-489p et al.), there shall be no monetary cap on the value of credits approved by the authority attributable to the program pursuant to the "New Jersey Economic Opportunity Act of 2013," P.L.2013, c.161 (C.52:27D-489p et al.).</w:t>
      </w:r>
    </w:p>
    <w:p w14:paraId="5768FF7A" w14:textId="77777777" w:rsidR="00B83AEB" w:rsidRPr="00CC36ED" w:rsidRDefault="00B83AEB" w:rsidP="00CC36ED">
      <w:r w:rsidRPr="00CC36ED">
        <w:tab/>
        <w:t>(2)</w:t>
      </w:r>
      <w:r w:rsidRPr="00CC36ED">
        <w:tab/>
        <w:t>(Deleted by amendment, P.L.2013, c.161)</w:t>
      </w:r>
    </w:p>
    <w:p w14:paraId="721DC7EE" w14:textId="77777777" w:rsidR="00B83AEB" w:rsidRPr="00CC36ED" w:rsidRDefault="00B83AEB" w:rsidP="00CC36ED">
      <w:r w:rsidRPr="00CC36ED">
        <w:tab/>
        <w:t>(3)</w:t>
      </w:r>
      <w:r w:rsidRPr="00CC36ED">
        <w:tab/>
        <w:t xml:space="preserve">(Deleted by amendment, P.L.2013, c.161) </w:t>
      </w:r>
    </w:p>
    <w:p w14:paraId="7B8BE2C7" w14:textId="77777777" w:rsidR="00B83AEB" w:rsidRPr="00CC36ED" w:rsidRDefault="00B83AEB" w:rsidP="00CC36ED">
      <w:r w:rsidRPr="00CC36ED">
        <w:tab/>
        <w:t>(4)</w:t>
      </w:r>
      <w:r w:rsidRPr="00CC36ED">
        <w:tab/>
        <w:t xml:space="preserve">(Deleted by amendment, P.L.2013, c.161) </w:t>
      </w:r>
    </w:p>
    <w:p w14:paraId="4087ED18" w14:textId="77777777" w:rsidR="00B83AEB" w:rsidRPr="00CC36ED" w:rsidRDefault="00B83AEB" w:rsidP="00CC36ED">
      <w:r w:rsidRPr="00CC36ED">
        <w:tab/>
        <w:t>(5)</w:t>
      </w:r>
      <w:r w:rsidRPr="00CC36ED">
        <w:tab/>
        <w:t xml:space="preserve">(Deleted by amendment, P.L.2013, c.161) </w:t>
      </w:r>
    </w:p>
    <w:p w14:paraId="399F94D9" w14:textId="57B37F99" w:rsidR="00B83AEB" w:rsidRPr="00CC36ED" w:rsidRDefault="00B666A2" w:rsidP="00CC36ED">
      <w:r>
        <w:tab/>
        <w:t xml:space="preserve"> b.</w:t>
      </w:r>
      <w:r>
        <w:tab/>
      </w:r>
      <w:r w:rsidR="00B83AEB" w:rsidRPr="00CC36ED">
        <w:t>(1)</w:t>
      </w:r>
      <w:r>
        <w:t xml:space="preserve"> </w:t>
      </w:r>
      <w:r w:rsidR="00B83AEB" w:rsidRPr="00CC36ED">
        <w:t xml:space="preserve"> A business shall submit an application for tax credits prior to July 1, 2019.  The authority shall not approve an application for tax credits unless the application was submitted prior to July 1, 2019.  </w:t>
      </w:r>
    </w:p>
    <w:p w14:paraId="3A1E2E96" w14:textId="13235ED2" w:rsidR="00B83AEB" w:rsidRPr="00CC36ED" w:rsidRDefault="00B666A2" w:rsidP="00CC36ED">
      <w:r>
        <w:tab/>
        <w:t>(2)</w:t>
      </w:r>
      <w:r>
        <w:tab/>
      </w:r>
      <w:r w:rsidR="00B83AEB" w:rsidRPr="00CC36ED">
        <w:t>(a)</w:t>
      </w:r>
      <w:r>
        <w:t xml:space="preserve"> </w:t>
      </w:r>
      <w:r w:rsidR="00B83AEB" w:rsidRPr="00CC36ED">
        <w:t xml:space="preserve"> A business shall submit its documentation indicating that it has met the capital investment and employment requirements </w:t>
      </w:r>
      <w:r w:rsidR="00934F22" w:rsidRPr="00CC36ED">
        <w:t xml:space="preserve">and all conditions of approvals </w:t>
      </w:r>
      <w:r w:rsidR="00B83AEB" w:rsidRPr="00CC36ED">
        <w:t>specified in the incentive agreement for certification of its tax credit amount</w:t>
      </w:r>
      <w:r w:rsidR="00934F22" w:rsidRPr="00CC36ED">
        <w:t>, to the authority’s satisfaction</w:t>
      </w:r>
      <w:r w:rsidR="00B83AEB" w:rsidRPr="00CC36ED">
        <w:t xml:space="preserve"> within three years following the date of approval of its application by the authority.  The authority shall have the discretion to grant two six-month extensions of this deadline.  </w:t>
      </w:r>
      <w:r w:rsidR="00934F22" w:rsidRPr="00CC36ED">
        <w:t xml:space="preserve">If the authority accepts the documentation, the authority shall request that the Division of Taxation in the Department of the Treasury issue a tax credit based on the approved documentation to be used by the business during the eligibility period.  </w:t>
      </w:r>
      <w:r w:rsidR="00B83AEB" w:rsidRPr="00CC36ED">
        <w:t>Except as provided in subparagraphs (b) and (c) of this paragraph, in no event shall the incentive effective date occur later than four years following the date of approval of an application by the authority.</w:t>
      </w:r>
    </w:p>
    <w:p w14:paraId="32EDFD98" w14:textId="77777777" w:rsidR="00B83AEB" w:rsidRPr="00CC36ED" w:rsidRDefault="00B83AEB" w:rsidP="00CC36ED">
      <w:r w:rsidRPr="00CC36ED">
        <w:tab/>
        <w:t>(b)</w:t>
      </w:r>
      <w:r w:rsidRPr="00CC36ED">
        <w:tab/>
        <w:t>As of the effective date of P.L.2017, c.314, a business which applied for the tax credit prior to July 1, 2014 under P.L.2011, c.149 (C.34:1B-242 et al.), shall submit its documentation to the authority no later than July 28, 2019, indicating that it has met the capital investment and employment requirements specified in the incentive agreement for certification of its tax credit amount.</w:t>
      </w:r>
    </w:p>
    <w:p w14:paraId="6F268689" w14:textId="77777777" w:rsidR="00B83AEB" w:rsidRPr="00CC36ED" w:rsidRDefault="00B83AEB" w:rsidP="00CC36ED">
      <w:r w:rsidRPr="00CC36ED">
        <w:tab/>
        <w:t>(c)</w:t>
      </w:r>
      <w:r w:rsidRPr="00CC36ED">
        <w:tab/>
        <w:t>If the Governor declares an emergency, then the chief executive officer of the authority shall have the discretion to grant an extension for the duration of the emergency and the board of the authority, upon recommendation of the chief executive officer, may grant two additional six-month extensions; provided that (</w:t>
      </w:r>
      <w:proofErr w:type="spellStart"/>
      <w:r w:rsidRPr="00CC36ED">
        <w:t>i</w:t>
      </w:r>
      <w:proofErr w:type="spellEnd"/>
      <w:r w:rsidRPr="00CC36ED">
        <w:t>) the extensions are due to the economic disruption caused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14:paraId="34041933" w14:textId="77777777" w:rsidR="00B83AEB" w:rsidRPr="00CC36ED" w:rsidRDefault="00B83AEB" w:rsidP="00CC36ED">
      <w:r w:rsidRPr="00CC36ED">
        <w:tab/>
        <w:t>(3)</w:t>
      </w:r>
      <w:r w:rsidRPr="00CC36ED">
        <w:tab/>
        <w:t>Full-time employment for an accounting or privilege period shall be determined as the average of the monthly full-time employment for the period.</w:t>
      </w:r>
    </w:p>
    <w:p w14:paraId="1C4794DE" w14:textId="77777777" w:rsidR="00B83AEB" w:rsidRPr="00CC36ED" w:rsidRDefault="00B83AEB" w:rsidP="00CC36ED">
      <w:r w:rsidRPr="00CC36ED">
        <w:tab/>
        <w:t>(4)</w:t>
      </w:r>
      <w:r w:rsidRPr="00CC36ED">
        <w:tab/>
        <w:t>A business seeking a credit for a mega project shall apply for the credit within four years after the effective date of the "New Jersey Economic Opportunity Act of 2013," P.L.2013, c.161 (C.52:27D-489p et al.).</w:t>
      </w:r>
    </w:p>
    <w:p w14:paraId="0126CC3D" w14:textId="502E0034" w:rsidR="00B83AEB" w:rsidRPr="00CC36ED" w:rsidRDefault="00B666A2" w:rsidP="00CC36ED">
      <w:r>
        <w:tab/>
        <w:t>c.</w:t>
      </w:r>
      <w:r>
        <w:tab/>
      </w:r>
      <w:r w:rsidR="00B83AEB" w:rsidRPr="00CC36ED">
        <w:t>(1)</w:t>
      </w:r>
      <w:r>
        <w:t xml:space="preserve"> </w:t>
      </w:r>
      <w:r w:rsidR="00B83AEB" w:rsidRPr="00CC36ED">
        <w:t xml:space="preserve"> In conducting its annual review, the authority may require a business to submit any information determined by the authority to be necessary and relevant to its review.</w:t>
      </w:r>
    </w:p>
    <w:p w14:paraId="4875ED7E" w14:textId="77777777" w:rsidR="00B83AEB" w:rsidRPr="00CC36ED" w:rsidRDefault="00B83AEB" w:rsidP="00CC36ED">
      <w:r w:rsidRPr="00CC36ED">
        <w:tab/>
        <w:t>The credit amount for any tax period for which the documentation of a business's credit amount remains uncertified as of a date three years after the closing date of that period shall be forfeited, although credit amounts for the remainder of the years of the eligibility period shall remain available to it.</w:t>
      </w:r>
    </w:p>
    <w:p w14:paraId="6F24D07D" w14:textId="4996AD58" w:rsidR="00B83AEB" w:rsidRPr="00CC36ED" w:rsidRDefault="00B83AEB" w:rsidP="00CC36ED">
      <w:r w:rsidRPr="00CC36ED">
        <w:tab/>
        <w:t>The credit amount may be taken by the tax certificate holder for the tax period for which it was issued or may be carried forward for use by the tax certificate holder in any of the next 20 successive tax periods, and shall expire thereafter.  The tax certificate holder may transfer the tax credit amount on or after the date of issuance or at any time within three years of the date of issuance for use by the transferee in the tax period for which it was issued or in any of the next 20 successive tax periods.  Notwithstanding the foregoing, no more than the amount of tax credits equal to the total credit amount divided by the duration of the eligibility period in years may be taken in any tax period.</w:t>
      </w:r>
    </w:p>
    <w:p w14:paraId="3484E31C" w14:textId="39197656" w:rsidR="00934F22" w:rsidRPr="00CC36ED" w:rsidRDefault="00934F22" w:rsidP="00CC36ED">
      <w:r w:rsidRPr="00CC36ED">
        <w:tab/>
        <w:t>A business may elect to suspend its obligations for the 2020 tax period and, if the public health emergency or state of emergency declared due to the COVID-19 pandemic extends past March 2021, the 2021 tax period, provided that the business shall make such election in writing to the authority before the date the annual report is due and such suspension shall extend the term of the eligibility period by a corresponding amount of time. The authority shall amend the incentive agreement, and the business shall execute the amended incentive agreement within the time period provided by the authority. The amended incentive agreement shall provide that the failure to submit the annual report due to the suspension shall not be a forfeiture or an uncertified tax period.</w:t>
      </w:r>
    </w:p>
    <w:p w14:paraId="725F4F48" w14:textId="77777777" w:rsidR="00B83AEB" w:rsidRPr="00CC36ED" w:rsidRDefault="00B83AEB" w:rsidP="00CC36ED">
      <w:r w:rsidRPr="00CC36ED">
        <w:tab/>
        <w:t>(2)</w:t>
      </w:r>
      <w:r w:rsidRPr="00CC36ED">
        <w:tab/>
        <w:t>Credits granted to a partnership shall be passed through to the partners, members, or owners, respectively, pro-rata or pursuant to an executed agreement among the partners, members, or owners documenting an alternate distribution method provided to the Director of the Division of Taxation in the Department of the Treasury accompanied by any additional information as the director may require.</w:t>
      </w:r>
    </w:p>
    <w:p w14:paraId="4D71715F" w14:textId="20DD8282" w:rsidR="00B83AEB" w:rsidRPr="00CC36ED" w:rsidRDefault="00B83AEB" w:rsidP="00CC36ED">
      <w:r w:rsidRPr="00CC36ED">
        <w:tab/>
        <w:t>(3)</w:t>
      </w:r>
      <w:r w:rsidRPr="00CC36ED">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14:paraId="6CE470B8" w14:textId="3DEE5B68" w:rsidR="00934F22" w:rsidRPr="00CC36ED" w:rsidRDefault="00934F22" w:rsidP="00CC36ED">
      <w:r w:rsidRPr="00CC36ED">
        <w:tab/>
        <w:t>(4) In order to respond to the profoundly negative impact of the COVID-19 pandemic on the State’s economy and finances, the authority may request a tax certificate holder, at the tax certificate holder’s discretion, to defer the application of a credit amount allowed pursuant to this section to a later tax period. Upon request, the authority and the tax certificate holder shall negotiate the terms of the deferral, which shall hold the certificate holder harmless, which will be made in the incentive agreement or as an addendum to the incentive agreement.</w:t>
      </w:r>
    </w:p>
    <w:p w14:paraId="141718DD" w14:textId="15CDA4BC" w:rsidR="00B83AEB" w:rsidRPr="00CC36ED" w:rsidRDefault="00B666A2" w:rsidP="00CC36ED">
      <w:r>
        <w:tab/>
        <w:t>d.</w:t>
      </w:r>
      <w:r>
        <w:tab/>
      </w:r>
      <w:r w:rsidR="00B83AEB" w:rsidRPr="00CC36ED">
        <w:t>(1)</w:t>
      </w:r>
      <w:r>
        <w:t xml:space="preserve"> </w:t>
      </w:r>
      <w:r w:rsidR="00B83AEB" w:rsidRPr="00CC36ED">
        <w:t xml:space="preserve"> If, in any tax period, the business reduces the total number of full-time employees in its Statewide workforce by more than 20 percent from the number of full-time employees in its Statewide workforce in the last tax period prior to the credit amount approval under section 3 of P.L.2011, c.149 (C.34:1B-244), then the business shall forfeit its credit amount for that tax period and each subsequent tax period, until the first tax period for which documentation demonstrating the restoration of the business's Statewide workforce to the threshold levels required by the incentive agreement has been reviewed and approved by the authority, for which tax period and each subsequent tax period the full amount of the credit shall be allowed.</w:t>
      </w:r>
    </w:p>
    <w:p w14:paraId="55219779" w14:textId="7E5887C3" w:rsidR="00B83AEB" w:rsidRPr="00CC36ED" w:rsidRDefault="00B83AEB" w:rsidP="00CC36ED">
      <w:r w:rsidRPr="00CC36ED">
        <w:tab/>
        <w:t>(2)</w:t>
      </w:r>
      <w:r w:rsidRPr="00CC36ED">
        <w:tab/>
        <w:t xml:space="preserve">If, in any tax period, the number of full-time employees employed by the business </w:t>
      </w:r>
      <w:r w:rsidR="00E10E78" w:rsidRPr="00CC36ED">
        <w:rPr>
          <w:u w:val="single"/>
        </w:rPr>
        <w:t>and working</w:t>
      </w:r>
      <w:r w:rsidR="00E10E78" w:rsidRPr="00177200">
        <w:t xml:space="preserve"> </w:t>
      </w:r>
      <w:r w:rsidR="0002155D" w:rsidRPr="00CC36ED">
        <w:t>at</w:t>
      </w:r>
      <w:r w:rsidR="00AE7815">
        <w:t xml:space="preserve"> </w:t>
      </w:r>
      <w:r w:rsidRPr="00CC36ED">
        <w:t>the qualified business facility located within a qualified incentive</w:t>
      </w:r>
      <w:r w:rsidR="00223AD7" w:rsidRPr="00CC36ED">
        <w:t xml:space="preserve"> </w:t>
      </w:r>
      <w:r w:rsidR="00223AD7" w:rsidRPr="00B05721">
        <w:t>area</w:t>
      </w:r>
      <w:r w:rsidR="00B05721">
        <w:t xml:space="preserve"> </w:t>
      </w:r>
      <w:r w:rsidR="00B05721" w:rsidRPr="00B05721">
        <w:rPr>
          <w:u w:val="single"/>
        </w:rPr>
        <w:t>or</w:t>
      </w:r>
      <w:r w:rsidR="00AE7815">
        <w:rPr>
          <w:u w:val="single"/>
        </w:rPr>
        <w:t xml:space="preserve"> </w:t>
      </w:r>
      <w:r w:rsidR="00AE7815" w:rsidRPr="00AE7815">
        <w:rPr>
          <w:u w:val="single"/>
        </w:rPr>
        <w:t>any other location approved by the authority within the State</w:t>
      </w:r>
      <w:r w:rsidR="00B05721" w:rsidRPr="00B05721">
        <w:rPr>
          <w:u w:val="single"/>
        </w:rPr>
        <w:t xml:space="preserve"> </w:t>
      </w:r>
      <w:r w:rsidR="00B05721" w:rsidRPr="007D0420">
        <w:rPr>
          <w:u w:val="single"/>
        </w:rPr>
        <w:t>including</w:t>
      </w:r>
      <w:r w:rsidR="00B05721">
        <w:rPr>
          <w:u w:val="single"/>
        </w:rPr>
        <w:t>,</w:t>
      </w:r>
      <w:r w:rsidR="00B05721" w:rsidRPr="007D0420">
        <w:rPr>
          <w:u w:val="single"/>
        </w:rPr>
        <w:t xml:space="preserve"> but not limited to</w:t>
      </w:r>
      <w:r w:rsidR="00B05721">
        <w:rPr>
          <w:u w:val="single"/>
        </w:rPr>
        <w:t>,</w:t>
      </w:r>
      <w:r w:rsidR="00B05721" w:rsidRPr="007D0420">
        <w:rPr>
          <w:u w:val="single"/>
        </w:rPr>
        <w:t xml:space="preserve"> </w:t>
      </w:r>
      <w:r w:rsidR="000250D2">
        <w:rPr>
          <w:u w:val="single"/>
        </w:rPr>
        <w:t xml:space="preserve">a full-time employee’s primary residence during </w:t>
      </w:r>
      <w:r w:rsidR="00B05721">
        <w:rPr>
          <w:u w:val="single"/>
        </w:rPr>
        <w:t>a</w:t>
      </w:r>
      <w:r w:rsidR="000250D2">
        <w:rPr>
          <w:u w:val="single"/>
        </w:rPr>
        <w:t xml:space="preserve"> Statewide</w:t>
      </w:r>
      <w:r w:rsidR="00B05721">
        <w:rPr>
          <w:u w:val="single"/>
        </w:rPr>
        <w:t xml:space="preserve"> state of emergency</w:t>
      </w:r>
      <w:r w:rsidR="00B05721" w:rsidRPr="00CC36ED">
        <w:t xml:space="preserve"> </w:t>
      </w:r>
      <w:r w:rsidRPr="00CC36ED">
        <w:t>drops below 80 percent of the number of new and retained full-time jobs specified in the incentive agreement, then the business shall forfeit its credit amount for that tax period and each subsequent tax period, until the first tax period for which documentation demonstrating the restoration of the number of full-time employees employed by the business at the qualified business facility</w:t>
      </w:r>
      <w:r w:rsidR="007D0420">
        <w:t xml:space="preserve"> </w:t>
      </w:r>
      <w:r w:rsidR="000250D2" w:rsidRPr="00B05721">
        <w:rPr>
          <w:u w:val="single"/>
        </w:rPr>
        <w:t>or</w:t>
      </w:r>
      <w:r w:rsidR="000250D2">
        <w:rPr>
          <w:u w:val="single"/>
        </w:rPr>
        <w:t xml:space="preserve"> </w:t>
      </w:r>
      <w:r w:rsidR="000250D2" w:rsidRPr="00AE7815">
        <w:rPr>
          <w:u w:val="single"/>
        </w:rPr>
        <w:t>any other location approved by the authority within the State</w:t>
      </w:r>
      <w:r w:rsidR="000250D2" w:rsidRPr="00B05721">
        <w:rPr>
          <w:u w:val="single"/>
        </w:rPr>
        <w:t xml:space="preserve"> </w:t>
      </w:r>
      <w:r w:rsidR="000250D2" w:rsidRPr="007D0420">
        <w:rPr>
          <w:u w:val="single"/>
        </w:rPr>
        <w:t>including</w:t>
      </w:r>
      <w:r w:rsidR="000250D2">
        <w:rPr>
          <w:u w:val="single"/>
        </w:rPr>
        <w:t>,</w:t>
      </w:r>
      <w:r w:rsidR="000250D2" w:rsidRPr="007D0420">
        <w:rPr>
          <w:u w:val="single"/>
        </w:rPr>
        <w:t xml:space="preserve"> but not limited to</w:t>
      </w:r>
      <w:r w:rsidR="000250D2">
        <w:rPr>
          <w:u w:val="single"/>
        </w:rPr>
        <w:t>,</w:t>
      </w:r>
      <w:r w:rsidR="000250D2" w:rsidRPr="007D0420">
        <w:rPr>
          <w:u w:val="single"/>
        </w:rPr>
        <w:t xml:space="preserve"> </w:t>
      </w:r>
      <w:r w:rsidR="000250D2">
        <w:rPr>
          <w:u w:val="single"/>
        </w:rPr>
        <w:t>a full-time employee’s primary residence during a Statewide state of emergency</w:t>
      </w:r>
      <w:r w:rsidR="000250D2" w:rsidRPr="00CC36ED">
        <w:t xml:space="preserve"> </w:t>
      </w:r>
      <w:r w:rsidRPr="00CC36ED">
        <w:t>to 80 percent of the number of jobs specified in the incentive agreement.</w:t>
      </w:r>
    </w:p>
    <w:p w14:paraId="04BCD7D9" w14:textId="3EB8DE81" w:rsidR="00B83AEB" w:rsidRPr="00CC36ED" w:rsidRDefault="00B666A2" w:rsidP="00CC36ED">
      <w:r>
        <w:tab/>
        <w:t>(3)</w:t>
      </w:r>
      <w:r>
        <w:tab/>
      </w:r>
      <w:r w:rsidR="00B83AEB" w:rsidRPr="00CC36ED">
        <w:t>(a)</w:t>
      </w:r>
      <w:r>
        <w:t xml:space="preserve"> </w:t>
      </w:r>
      <w:r w:rsidR="00B83AEB" w:rsidRPr="00CC36ED">
        <w:t xml:space="preserve"> If the qualified business facility is sold by the owner in whole or in part during the eligibility period, the new owner shall not acquire the capital investment of the seller and the seller shall forfeit all credits for the tax period in which the sale occurs and all subsequent tax periods, provided however that any credits of the business shall remain unaffected.</w:t>
      </w:r>
    </w:p>
    <w:p w14:paraId="5BB15FF8" w14:textId="77777777" w:rsidR="00B83AEB" w:rsidRPr="00CC36ED" w:rsidRDefault="00B83AEB" w:rsidP="00CC36ED">
      <w:r w:rsidRPr="00CC36ED">
        <w:tab/>
        <w:t>(b)</w:t>
      </w:r>
      <w:r w:rsidRPr="00CC36ED">
        <w:tab/>
        <w:t>In connection with a regional distribution facility of foodstuffs, the business entity or entities which own or lease the facility shall qualify as a business regardless of: (</w:t>
      </w:r>
      <w:proofErr w:type="spellStart"/>
      <w:r w:rsidRPr="00CC36ED">
        <w:t>i</w:t>
      </w:r>
      <w:proofErr w:type="spellEnd"/>
      <w:r w:rsidRPr="00CC36ED">
        <w:t>) the type of the business entity or entities which own or lease the facility; (ii) the ownership or leasing of the facility by more than one business entity; or (iii) the ownership of the business entity or entities which own or lease the facility.  The ownership or leasing, whether by members, shareholders, partners, or other owners of the business entity or entities, shall be treated as ownership or leasing by affiliates.  The members, shareholders, partners, or other ownership or leasing participants and others that are tenants in the facility shall be treated as affiliates for the purpose of counting the full-time employees and capital investments in the facility.  The business entity or entities may distribute credits to members, shareholders, partners, or other ownership or leasing participants in accordance with their respective interests.  If the business entity or entities or their members, shareholders, partners, or other ownership or leasing participants lease space in the facility to members, shareholders, partners, or other ownership or leasing participants or others as tenants in the facility, the leases shall be treated as a lease to an affiliate, and the business entity or entities shall not be subject to forfeiture of the credits.  For the purposes of this section, leasing shall include subleasing and tenants shall include subtenants.</w:t>
      </w:r>
    </w:p>
    <w:p w14:paraId="3EBB9984" w14:textId="79281D7B" w:rsidR="00B83AEB" w:rsidRPr="00CC36ED" w:rsidRDefault="00B666A2" w:rsidP="00CC36ED">
      <w:r>
        <w:tab/>
        <w:t>(4)</w:t>
      </w:r>
      <w:r>
        <w:tab/>
      </w:r>
      <w:r w:rsidR="00B83AEB" w:rsidRPr="00CC36ED">
        <w:t>(a)</w:t>
      </w:r>
      <w:r>
        <w:t xml:space="preserve"> </w:t>
      </w:r>
      <w:r w:rsidR="00B83AEB" w:rsidRPr="00CC36ED">
        <w:t xml:space="preserve"> For a project located within a Garden State Growth Zone, if, in any tax period, the number of full-time employees employed by the business at the qualified business facility located within a qualified incentive area increases above the number of full-time employees specified in the incentive agreement, then the business shall be entitled to an increased base credit amount for that tax period and each subsequent tax period, for each additional full-time employee added above the number of full-time employees specified in the incentive agreement, until the first tax period for which documentation demonstrating a reduction of the number of full-time employees employed by the business at the qualified business facility, at which time the tax credit amount will be adjusted accordingly pursuant to this section.</w:t>
      </w:r>
    </w:p>
    <w:p w14:paraId="3DFD306C" w14:textId="77777777" w:rsidR="00B83AEB" w:rsidRPr="00CC36ED" w:rsidRDefault="00B83AEB" w:rsidP="00CC36ED">
      <w:r w:rsidRPr="00CC36ED">
        <w:tab/>
        <w:t>(b)</w:t>
      </w:r>
      <w:r w:rsidRPr="00CC36ED">
        <w:tab/>
        <w:t xml:space="preserve">For a project located within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 and which qualifies for a tax credit pursuant to </w:t>
      </w:r>
      <w:proofErr w:type="spellStart"/>
      <w:r w:rsidRPr="00CC36ED">
        <w:t>subsubparagraph</w:t>
      </w:r>
      <w:proofErr w:type="spellEnd"/>
      <w:r w:rsidRPr="00CC36ED">
        <w:t xml:space="preserve"> (ii) of subparagraphs (a) through (e) of paragraph (6) of subsection d. of section 5 of P.L.2011, c.149 (C.34:1B-246), if, in any tax period the number of full-time employees employed by the business at the qualified business facility located within a qualified incentive area increases above the number of full-time employees specified in the incentive agreement such that the business shall then meet the minimum number of employees required in subparagraph (b), (c), (d), or (e) of paragraph (6) of subsection d. of section 5 of P.L.2011, c.149 (C.34:1B-246), then the authority shall recalculate the total tax credit amount per full-time job by using the certified capital investment of the project allowable under the applicable </w:t>
      </w:r>
      <w:proofErr w:type="spellStart"/>
      <w:r w:rsidRPr="00CC36ED">
        <w:t>subsubparagraph</w:t>
      </w:r>
      <w:proofErr w:type="spellEnd"/>
      <w:r w:rsidRPr="00CC36ED">
        <w:t xml:space="preserve"> and the number of full-time jobs certified on the date of the recalculation and applying those numbers to subparagraph (b), (c), (d), or (e) of paragraph (6) of subsection d. of section 5 of P.L.2011, c.149 (C.34:1B-246), until the first tax period for which documentation demonstrating a reduction of the number of full-time employees employed by the business at the qualified business facility, at which time the tax credit amount shall be adjusted accordingly pursuant to this section.</w:t>
      </w:r>
    </w:p>
    <w:p w14:paraId="35378669" w14:textId="77777777" w:rsidR="00B83AEB" w:rsidRPr="00CC36ED" w:rsidRDefault="00B83AEB" w:rsidP="00CC36ED">
      <w:r w:rsidRPr="00CC36ED">
        <w:tab/>
        <w:t>e.</w:t>
      </w:r>
      <w:r w:rsidRPr="00CC36ED">
        <w:tab/>
        <w:t>The authority shall not enter into an incentive agreement with a business that has previously received incentives pursuant to the "Business Retention and Relocation Assistance Act," P.L.1996, c.25 (C.34:1B-112 et seq.), the "Business Employment Incentive Program Act," P.L.1996, c.26 (C.34:1B-124 et al.), or any other program administered by the authority unless:</w:t>
      </w:r>
    </w:p>
    <w:p w14:paraId="2E2C488E" w14:textId="77777777" w:rsidR="00B83AEB" w:rsidRPr="00CC36ED" w:rsidRDefault="00B83AEB" w:rsidP="00CC36ED">
      <w:r w:rsidRPr="00CC36ED">
        <w:tab/>
        <w:t>(1)</w:t>
      </w:r>
      <w:r w:rsidRPr="00CC36ED">
        <w:tab/>
        <w:t>the business has satisfied all of its obligations underlying the previous award of incentives or is compliant with section 4 of P.L.2011, c.149 (C.34:1B-245); or</w:t>
      </w:r>
    </w:p>
    <w:p w14:paraId="73E84454" w14:textId="77777777" w:rsidR="00B83AEB" w:rsidRPr="00CC36ED" w:rsidRDefault="00B83AEB" w:rsidP="00CC36ED">
      <w:r w:rsidRPr="00CC36ED">
        <w:tab/>
        <w:t>(2)</w:t>
      </w:r>
      <w:r w:rsidRPr="00CC36ED">
        <w:tab/>
        <w:t>the capital investment incurred and new or retained full-time jobs pledged by the business in the new incentive agreement are separate and apart from any capital investment or jobs underlying the previous award of incentives.</w:t>
      </w:r>
    </w:p>
    <w:p w14:paraId="30923511" w14:textId="7C35897B" w:rsidR="00B83AEB" w:rsidRPr="00CC36ED" w:rsidRDefault="00B83AEB" w:rsidP="00CC36ED">
      <w:r w:rsidRPr="00CC36ED">
        <w:tab/>
        <w:t>f.</w:t>
      </w:r>
      <w:r w:rsidRPr="00CC36ED">
        <w:tab/>
        <w:t>A business which has already applied for a tax credit incentive award prior to the effective date of the "New Jersey Economic Opportunity Act of 2013," P.L.2013, c.161 (C.52:27D-489p et al.), but who has not yet been approved for the tax credits, or has not executed an agreement with the authority, may proceed under that application or seek to amend the application or reapply for a tax credit incentive award for the same project or any part thereof for the purpose of availing itself of any more favorable provisions of the program.</w:t>
      </w:r>
    </w:p>
    <w:p w14:paraId="2B50AABC" w14:textId="73DFD5BA" w:rsidR="00934F22" w:rsidRPr="00CC36ED" w:rsidRDefault="00B666A2" w:rsidP="00CC36ED">
      <w:r>
        <w:tab/>
        <w:t>g.</w:t>
      </w:r>
      <w:r>
        <w:tab/>
      </w:r>
      <w:r w:rsidR="00934F22" w:rsidRPr="00CC36ED">
        <w:t xml:space="preserve">A business that has entered into an incentive agreement may request before December 31, 2022 to terminate the incentive agreement due to the COVID-19 public health emergency; provided that the business shall submit a certification from the business's chief executive officer or equivalent officer stating that the termination is due to the public health emergency and describing the impact of the public health emergency on the business. All credits for the tax period in which the termination occurs and all subsequent tax periods shall be forfeited, provided however that any credits of the business shall remain unaffected. </w:t>
      </w:r>
    </w:p>
    <w:p w14:paraId="50B2B3C1" w14:textId="73DDA937" w:rsidR="00934F22" w:rsidRPr="00CC36ED" w:rsidRDefault="00B666A2" w:rsidP="00CC36ED">
      <w:r>
        <w:tab/>
        <w:t>h.</w:t>
      </w:r>
      <w:r>
        <w:tab/>
      </w:r>
      <w:r w:rsidR="00934F22" w:rsidRPr="00CC36ED">
        <w:t>A business that has entered into an incentive agreement may request to reduce the number of new or retained full-time jobs specified in the incentive agreement based on a certification of the business of the eligible positions at the qualified business facility</w:t>
      </w:r>
      <w:r w:rsidR="007D0420">
        <w:t xml:space="preserve"> </w:t>
      </w:r>
      <w:r w:rsidR="000250D2" w:rsidRPr="00B05721">
        <w:rPr>
          <w:u w:val="single"/>
        </w:rPr>
        <w:t>or</w:t>
      </w:r>
      <w:r w:rsidR="000250D2">
        <w:rPr>
          <w:u w:val="single"/>
        </w:rPr>
        <w:t xml:space="preserve"> </w:t>
      </w:r>
      <w:r w:rsidR="000250D2" w:rsidRPr="00AE7815">
        <w:rPr>
          <w:u w:val="single"/>
        </w:rPr>
        <w:t>any other location approved by the authority within the State</w:t>
      </w:r>
      <w:r w:rsidR="000250D2" w:rsidRPr="00B05721">
        <w:rPr>
          <w:u w:val="single"/>
        </w:rPr>
        <w:t xml:space="preserve"> </w:t>
      </w:r>
      <w:r w:rsidR="000250D2" w:rsidRPr="007D0420">
        <w:rPr>
          <w:u w:val="single"/>
        </w:rPr>
        <w:t>including</w:t>
      </w:r>
      <w:r w:rsidR="000250D2">
        <w:rPr>
          <w:u w:val="single"/>
        </w:rPr>
        <w:t>,</w:t>
      </w:r>
      <w:r w:rsidR="000250D2" w:rsidRPr="007D0420">
        <w:rPr>
          <w:u w:val="single"/>
        </w:rPr>
        <w:t xml:space="preserve"> but not limited to</w:t>
      </w:r>
      <w:r w:rsidR="000250D2">
        <w:rPr>
          <w:u w:val="single"/>
        </w:rPr>
        <w:t>,</w:t>
      </w:r>
      <w:r w:rsidR="000250D2" w:rsidRPr="007D0420">
        <w:rPr>
          <w:u w:val="single"/>
        </w:rPr>
        <w:t xml:space="preserve"> </w:t>
      </w:r>
      <w:r w:rsidR="000250D2">
        <w:rPr>
          <w:u w:val="single"/>
        </w:rPr>
        <w:t>a full-time employee’s primary residence during a Statewide state of emergency</w:t>
      </w:r>
      <w:r w:rsidR="007D0420" w:rsidRPr="00B05721">
        <w:t xml:space="preserve"> </w:t>
      </w:r>
      <w:r w:rsidR="00934F22" w:rsidRPr="00CC36ED">
        <w:t xml:space="preserve">commencing with the 2020 tax period and each subsequent tax period remaining in the eligibility period, provided that the business maintains the minimum number of new or retained full-time jobs required to be eligible pursuant to subsection c. of section 3 of P.L. 2011, c. 149 (C.34:1B-244). The reduction in employment shall first apply to the number of new full-time employees, and then shall apply to the number of retained full-time employees. </w:t>
      </w:r>
    </w:p>
    <w:p w14:paraId="2CE838AF" w14:textId="27611897" w:rsidR="00934F22" w:rsidRPr="00CC36ED" w:rsidRDefault="00934F22" w:rsidP="00CC36ED">
      <w:pPr>
        <w:rPr>
          <w:u w:val="single"/>
        </w:rPr>
      </w:pPr>
      <w:r w:rsidRPr="00CC36ED">
        <w:tab/>
        <w:t>The authority shall calculate a new tax credit total amount for the 2020 tax period and the remainder of the eligibility period based on the reduced employment and shall amend the incentive agreement to reflect the recalculated award amount. In no event shall the modification result in an increase in employment or tax credit amount.</w:t>
      </w:r>
    </w:p>
    <w:p w14:paraId="67275D51" w14:textId="2BCD3EDB" w:rsidR="00A73E60" w:rsidRPr="006B467E" w:rsidRDefault="00A73E60" w:rsidP="00CC36ED">
      <w:r w:rsidRPr="00CC36ED">
        <w:t>(</w:t>
      </w:r>
      <w:proofErr w:type="spellStart"/>
      <w:r w:rsidRPr="00CC36ED">
        <w:t>cf</w:t>
      </w:r>
      <w:proofErr w:type="spellEnd"/>
      <w:r w:rsidRPr="00CC36ED">
        <w:t>:  P.L.</w:t>
      </w:r>
      <w:r w:rsidR="00AD329F" w:rsidRPr="00CC36ED">
        <w:t>2020</w:t>
      </w:r>
      <w:r w:rsidRPr="00CC36ED">
        <w:t>, c.</w:t>
      </w:r>
      <w:r w:rsidR="00462561">
        <w:t>156</w:t>
      </w:r>
      <w:r w:rsidRPr="00CC36ED">
        <w:t>, s.</w:t>
      </w:r>
      <w:r w:rsidR="00462561">
        <w:t>108</w:t>
      </w:r>
      <w:r w:rsidRPr="006B467E">
        <w:t>)</w:t>
      </w:r>
    </w:p>
    <w:p w14:paraId="5BB19098" w14:textId="77777777" w:rsidR="00F55295" w:rsidRPr="00AE7815" w:rsidRDefault="00F55295" w:rsidP="00AE7815"/>
    <w:p w14:paraId="460500CB" w14:textId="58CB6410" w:rsidR="00F55295" w:rsidRPr="00177200" w:rsidRDefault="00F55295" w:rsidP="00177200">
      <w:r w:rsidRPr="00177200">
        <w:tab/>
      </w:r>
      <w:r w:rsidR="00AC7819" w:rsidRPr="00177200">
        <w:t>2.</w:t>
      </w:r>
      <w:r w:rsidRPr="00177200">
        <w:tab/>
      </w:r>
      <w:r w:rsidR="007B0A86" w:rsidRPr="00DD37F5">
        <w:rPr>
          <w:color w:val="000000"/>
          <w:shd w:val="clear" w:color="auto" w:fill="FFFFFF"/>
        </w:rPr>
        <w:t xml:space="preserve">Section </w:t>
      </w:r>
      <w:r w:rsidR="007B0A86">
        <w:rPr>
          <w:color w:val="000000"/>
          <w:shd w:val="clear" w:color="auto" w:fill="FFFFFF"/>
        </w:rPr>
        <w:t>7</w:t>
      </w:r>
      <w:r w:rsidR="007B0A86" w:rsidRPr="00DD37F5">
        <w:rPr>
          <w:color w:val="000000"/>
          <w:shd w:val="clear" w:color="auto" w:fill="FFFFFF"/>
        </w:rPr>
        <w:t>6 of P.L.20</w:t>
      </w:r>
      <w:r w:rsidR="007B0A86">
        <w:rPr>
          <w:color w:val="000000"/>
          <w:shd w:val="clear" w:color="auto" w:fill="FFFFFF"/>
        </w:rPr>
        <w:t>20</w:t>
      </w:r>
      <w:r w:rsidR="007B0A86" w:rsidRPr="00DD37F5">
        <w:rPr>
          <w:color w:val="000000"/>
          <w:shd w:val="clear" w:color="auto" w:fill="FFFFFF"/>
        </w:rPr>
        <w:t>, c.</w:t>
      </w:r>
      <w:r w:rsidR="007B0A86">
        <w:rPr>
          <w:color w:val="000000"/>
          <w:shd w:val="clear" w:color="auto" w:fill="FFFFFF"/>
        </w:rPr>
        <w:t>156</w:t>
      </w:r>
      <w:r w:rsidR="007B0A86" w:rsidRPr="006B467E">
        <w:rPr>
          <w:color w:val="201F1E"/>
          <w:shd w:val="clear" w:color="auto" w:fill="FFFFFF"/>
        </w:rPr>
        <w:t xml:space="preserve"> (C.34:1B-</w:t>
      </w:r>
      <w:r w:rsidR="007B0A86">
        <w:rPr>
          <w:color w:val="201F1E"/>
          <w:shd w:val="clear" w:color="auto" w:fill="FFFFFF"/>
        </w:rPr>
        <w:t>344</w:t>
      </w:r>
      <w:r w:rsidR="007B0A86" w:rsidRPr="006B467E">
        <w:rPr>
          <w:color w:val="201F1E"/>
          <w:shd w:val="clear" w:color="auto" w:fill="FFFFFF"/>
        </w:rPr>
        <w:t>)</w:t>
      </w:r>
      <w:r w:rsidR="007B0A86" w:rsidRPr="006B467E">
        <w:t xml:space="preserve"> is amended to read as follows</w:t>
      </w:r>
      <w:r w:rsidR="00AC7819" w:rsidRPr="00177200">
        <w:t xml:space="preserve">: </w:t>
      </w:r>
    </w:p>
    <w:p w14:paraId="75E6EDCA" w14:textId="1CA9E6B9" w:rsidR="00D44992" w:rsidRPr="00177200" w:rsidRDefault="00B666A2" w:rsidP="00177200">
      <w:pPr>
        <w:autoSpaceDE w:val="0"/>
        <w:autoSpaceDN w:val="0"/>
        <w:adjustRightInd w:val="0"/>
        <w:rPr>
          <w:color w:val="000000"/>
        </w:rPr>
      </w:pPr>
      <w:r>
        <w:rPr>
          <w:color w:val="000000"/>
        </w:rPr>
        <w:tab/>
        <w:t xml:space="preserve">76. </w:t>
      </w:r>
      <w:r w:rsidR="00462561">
        <w:rPr>
          <w:color w:val="000000"/>
        </w:rPr>
        <w:t>a.</w:t>
      </w:r>
      <w:r>
        <w:rPr>
          <w:color w:val="000000"/>
        </w:rPr>
        <w:t xml:space="preserve"> </w:t>
      </w:r>
      <w:r w:rsidR="00462561">
        <w:rPr>
          <w:color w:val="000000"/>
        </w:rPr>
        <w:t xml:space="preserve"> </w:t>
      </w:r>
      <w:r w:rsidR="00D44992" w:rsidRPr="00177200">
        <w:rPr>
          <w:color w:val="000000"/>
        </w:rPr>
        <w:t>(1)</w:t>
      </w:r>
      <w:r>
        <w:rPr>
          <w:color w:val="000000"/>
        </w:rPr>
        <w:t xml:space="preserve"> </w:t>
      </w:r>
      <w:r w:rsidR="00D44992" w:rsidRPr="00177200">
        <w:rPr>
          <w:color w:val="000000"/>
        </w:rPr>
        <w:t xml:space="preserve"> If, in any tax period, an eligible business reduces the total number of full-time employees in its Statewide workforce by more than 20 percent from the number of full-time employees in its Statewide workforce in the last tax period prior to the credit amount approval under the program, then the eligible business shall forfeit its credit amount for that tax period and each subsequent tax period, until the first tax period for which documentation demonstrating the restoration of the eligible business's Statewide workforce to the threshold levels required by this subsection has been reviewed and approved by the authority, for which tax period and each subsequent tax period the full amount of the credit shall be allowed. </w:t>
      </w:r>
    </w:p>
    <w:p w14:paraId="373D5A8A" w14:textId="2E59CD93" w:rsidR="00D44992" w:rsidRPr="00177200" w:rsidRDefault="00D44992" w:rsidP="006B467E">
      <w:r w:rsidRPr="00177200">
        <w:tab/>
        <w:t>(2) If the annual report filed by an eligible business pursuant to section 77 of P.L.</w:t>
      </w:r>
      <w:r w:rsidR="00462561">
        <w:t>2020</w:t>
      </w:r>
      <w:r w:rsidRPr="00177200">
        <w:t>, c.</w:t>
      </w:r>
      <w:r w:rsidR="00462561">
        <w:t>156</w:t>
      </w:r>
      <w:r w:rsidRPr="00177200">
        <w:t xml:space="preserve"> (C.</w:t>
      </w:r>
      <w:r w:rsidR="00462561">
        <w:t>34:1B-345</w:t>
      </w:r>
      <w:r w:rsidRPr="00177200">
        <w:t xml:space="preserve">) </w:t>
      </w:r>
      <w:r w:rsidR="00462561">
        <w:t>p</w:t>
      </w:r>
      <w:r w:rsidRPr="00177200">
        <w:t>rovides that the number of new full-time employees employed by the eligible business at the qualified business facility, or the salaries thereof, was reduced by more than 10 percent of the number of new full-time employees, or salaries thereof, in the annual report of the prior year, or the project agreement if the annual report is the first such report filed, then the authority may reevaluate the net positive economic benefit of the project and reduce the size of the award accordingly. This reduction shall not affect any recapture under subsection f. of this section.</w:t>
      </w:r>
    </w:p>
    <w:p w14:paraId="47C73939" w14:textId="2141206E" w:rsidR="00D44992" w:rsidRPr="00177200" w:rsidRDefault="00B666A2" w:rsidP="00177200">
      <w:pPr>
        <w:rPr>
          <w:color w:val="000000"/>
        </w:rPr>
      </w:pPr>
      <w:r>
        <w:rPr>
          <w:color w:val="000000"/>
        </w:rPr>
        <w:tab/>
        <w:t>b.</w:t>
      </w:r>
      <w:r>
        <w:rPr>
          <w:color w:val="000000"/>
        </w:rPr>
        <w:tab/>
      </w:r>
      <w:r w:rsidR="00D44992" w:rsidRPr="00177200">
        <w:rPr>
          <w:color w:val="000000"/>
        </w:rPr>
        <w:t>If, in any tax period, the number of full-time employees employed by the eligible business at the qualified business facility</w:t>
      </w:r>
      <w:r w:rsidR="0088549E" w:rsidRPr="00177200">
        <w:rPr>
          <w:color w:val="000000"/>
        </w:rPr>
        <w:t xml:space="preserve"> </w:t>
      </w:r>
      <w:r w:rsidR="0088549E" w:rsidRPr="00177200">
        <w:rPr>
          <w:color w:val="000000"/>
          <w:u w:val="single"/>
        </w:rPr>
        <w:t>and working at the qualified facility</w:t>
      </w:r>
      <w:r w:rsidR="007D0420">
        <w:rPr>
          <w:color w:val="000000"/>
          <w:u w:val="single"/>
        </w:rPr>
        <w:t xml:space="preserve"> </w:t>
      </w:r>
      <w:r w:rsidR="000250D2" w:rsidRPr="00B05721">
        <w:rPr>
          <w:u w:val="single"/>
        </w:rPr>
        <w:t>or</w:t>
      </w:r>
      <w:r w:rsidR="000250D2">
        <w:rPr>
          <w:u w:val="single"/>
        </w:rPr>
        <w:t xml:space="preserve"> </w:t>
      </w:r>
      <w:r w:rsidR="000250D2" w:rsidRPr="00AE7815">
        <w:rPr>
          <w:u w:val="single"/>
        </w:rPr>
        <w:t>any other location approved by the authority within the State</w:t>
      </w:r>
      <w:r w:rsidR="000250D2" w:rsidRPr="00B05721">
        <w:rPr>
          <w:u w:val="single"/>
        </w:rPr>
        <w:t xml:space="preserve"> </w:t>
      </w:r>
      <w:r w:rsidR="000250D2" w:rsidRPr="007D0420">
        <w:rPr>
          <w:u w:val="single"/>
        </w:rPr>
        <w:t>including</w:t>
      </w:r>
      <w:r w:rsidR="000250D2">
        <w:rPr>
          <w:u w:val="single"/>
        </w:rPr>
        <w:t>,</w:t>
      </w:r>
      <w:r w:rsidR="000250D2" w:rsidRPr="007D0420">
        <w:rPr>
          <w:u w:val="single"/>
        </w:rPr>
        <w:t xml:space="preserve"> but not limited to</w:t>
      </w:r>
      <w:r w:rsidR="000250D2">
        <w:rPr>
          <w:u w:val="single"/>
        </w:rPr>
        <w:t>,</w:t>
      </w:r>
      <w:r w:rsidR="000250D2" w:rsidRPr="007D0420">
        <w:rPr>
          <w:u w:val="single"/>
        </w:rPr>
        <w:t xml:space="preserve"> </w:t>
      </w:r>
      <w:r w:rsidR="000250D2">
        <w:rPr>
          <w:u w:val="single"/>
        </w:rPr>
        <w:t>a full-time employee’s primary residence during a Statewide state of emergency</w:t>
      </w:r>
      <w:r w:rsidR="00D44992" w:rsidRPr="007D0420">
        <w:rPr>
          <w:color w:val="000000"/>
        </w:rPr>
        <w:t>, or the salaries thereof, drops below 80 percent of the number of new and retained full-time jobs, and the salaries thereof, specified in the project agreement or the incentive phase agreement, then the eligible business shall forfeit its tax credit amount for that tax period and each subsequent tax period, until the first tax period for which documentation demonstrating the restoration of the number of full-time employees employed by the eligible business at the qualified business facility</w:t>
      </w:r>
      <w:r w:rsidR="00385D06" w:rsidRPr="007D0420">
        <w:rPr>
          <w:color w:val="000000"/>
        </w:rPr>
        <w:t xml:space="preserve"> </w:t>
      </w:r>
      <w:r w:rsidR="00041D52" w:rsidRPr="00177200">
        <w:rPr>
          <w:color w:val="000000"/>
          <w:u w:val="single"/>
        </w:rPr>
        <w:t xml:space="preserve">and working at the qualified facility </w:t>
      </w:r>
      <w:r w:rsidR="000250D2" w:rsidRPr="00B05721">
        <w:rPr>
          <w:u w:val="single"/>
        </w:rPr>
        <w:t>or</w:t>
      </w:r>
      <w:r w:rsidR="000250D2">
        <w:rPr>
          <w:u w:val="single"/>
        </w:rPr>
        <w:t xml:space="preserve"> </w:t>
      </w:r>
      <w:r w:rsidR="000250D2" w:rsidRPr="00AE7815">
        <w:rPr>
          <w:u w:val="single"/>
        </w:rPr>
        <w:t>any other location approved by the authority within the State</w:t>
      </w:r>
      <w:r w:rsidR="000250D2" w:rsidRPr="00B05721">
        <w:rPr>
          <w:u w:val="single"/>
        </w:rPr>
        <w:t xml:space="preserve"> </w:t>
      </w:r>
      <w:r w:rsidR="000250D2" w:rsidRPr="007D0420">
        <w:rPr>
          <w:u w:val="single"/>
        </w:rPr>
        <w:t>including</w:t>
      </w:r>
      <w:r w:rsidR="000250D2">
        <w:rPr>
          <w:u w:val="single"/>
        </w:rPr>
        <w:t>,</w:t>
      </w:r>
      <w:r w:rsidR="000250D2" w:rsidRPr="007D0420">
        <w:rPr>
          <w:u w:val="single"/>
        </w:rPr>
        <w:t xml:space="preserve"> but not limited to</w:t>
      </w:r>
      <w:r w:rsidR="000250D2">
        <w:rPr>
          <w:u w:val="single"/>
        </w:rPr>
        <w:t>,</w:t>
      </w:r>
      <w:r w:rsidR="000250D2" w:rsidRPr="007D0420">
        <w:rPr>
          <w:u w:val="single"/>
        </w:rPr>
        <w:t xml:space="preserve"> </w:t>
      </w:r>
      <w:r w:rsidR="000250D2">
        <w:rPr>
          <w:u w:val="single"/>
        </w:rPr>
        <w:t>a full-time employee’s primary residence during a Statewide state of emergency</w:t>
      </w:r>
      <w:r w:rsidR="000250D2" w:rsidRPr="00CC36ED">
        <w:t xml:space="preserve"> </w:t>
      </w:r>
      <w:r w:rsidR="00D44992" w:rsidRPr="007D0420">
        <w:rPr>
          <w:color w:val="000000"/>
        </w:rPr>
        <w:t>to 80 percent of th</w:t>
      </w:r>
      <w:r w:rsidR="00D44992" w:rsidRPr="00177200">
        <w:rPr>
          <w:color w:val="000000"/>
        </w:rPr>
        <w:t xml:space="preserve">e number of jobs specified in the project agreement or incentive phase agreement or the restoration of 80 percent of the salaries specified in the project agreement is reviewed and approved by the authority. </w:t>
      </w:r>
    </w:p>
    <w:p w14:paraId="40EB186C" w14:textId="44A6849B" w:rsidR="00D44992" w:rsidRPr="00177200" w:rsidRDefault="00B666A2" w:rsidP="00177200">
      <w:pPr>
        <w:autoSpaceDE w:val="0"/>
        <w:autoSpaceDN w:val="0"/>
        <w:adjustRightInd w:val="0"/>
        <w:rPr>
          <w:color w:val="000000"/>
        </w:rPr>
      </w:pPr>
      <w:r>
        <w:rPr>
          <w:color w:val="000000"/>
        </w:rPr>
        <w:tab/>
        <w:t>c.</w:t>
      </w:r>
      <w:r>
        <w:rPr>
          <w:color w:val="000000"/>
        </w:rPr>
        <w:tab/>
      </w:r>
      <w:r w:rsidR="00D44992" w:rsidRPr="00177200">
        <w:rPr>
          <w:color w:val="000000"/>
        </w:rPr>
        <w:t xml:space="preserve">Except for an eligible business engaged primarily in a targeted industry with less than 50 employees at application: </w:t>
      </w:r>
    </w:p>
    <w:p w14:paraId="1614C379" w14:textId="1D5C7707" w:rsidR="00D44992" w:rsidRPr="00177200" w:rsidRDefault="00D44992" w:rsidP="00177200">
      <w:pPr>
        <w:autoSpaceDE w:val="0"/>
        <w:autoSpaceDN w:val="0"/>
        <w:adjustRightInd w:val="0"/>
        <w:rPr>
          <w:color w:val="000000"/>
        </w:rPr>
      </w:pPr>
      <w:r w:rsidRPr="00177200">
        <w:rPr>
          <w:color w:val="000000"/>
        </w:rPr>
        <w:tab/>
        <w:t xml:space="preserve">(1) If the qualified business facility is sold in whole or in part during the eligibility period, the new owner shall not acquire the capital investment of the seller, provided, however, that any tax credits of tenants shall remain unaffected. The seller shall forfeit all tax credits for the tax period in which the sale occurs and all subsequent tax periods, provided, however, that an eligible business may change the location of the qualified business facility if: </w:t>
      </w:r>
    </w:p>
    <w:p w14:paraId="359BC370" w14:textId="52D69FFC" w:rsidR="00D44992" w:rsidRPr="00177200" w:rsidRDefault="00D44992" w:rsidP="00177200">
      <w:pPr>
        <w:autoSpaceDE w:val="0"/>
        <w:autoSpaceDN w:val="0"/>
        <w:adjustRightInd w:val="0"/>
        <w:rPr>
          <w:color w:val="000000"/>
        </w:rPr>
      </w:pPr>
      <w:r w:rsidRPr="00177200">
        <w:rPr>
          <w:color w:val="000000"/>
        </w:rPr>
        <w:tab/>
        <w:t xml:space="preserve">(a) the new facility: </w:t>
      </w:r>
    </w:p>
    <w:p w14:paraId="33A5684B" w14:textId="5A0A2913" w:rsidR="00D44992" w:rsidRPr="00177200" w:rsidRDefault="00D44992" w:rsidP="00177200">
      <w:pPr>
        <w:autoSpaceDE w:val="0"/>
        <w:autoSpaceDN w:val="0"/>
        <w:adjustRightInd w:val="0"/>
        <w:rPr>
          <w:color w:val="000000"/>
        </w:rPr>
      </w:pPr>
      <w:r w:rsidRPr="00177200">
        <w:rPr>
          <w:color w:val="000000"/>
        </w:rPr>
        <w:tab/>
        <w:t>(</w:t>
      </w:r>
      <w:proofErr w:type="spellStart"/>
      <w:r w:rsidRPr="00177200">
        <w:rPr>
          <w:color w:val="000000"/>
        </w:rPr>
        <w:t>i</w:t>
      </w:r>
      <w:proofErr w:type="spellEnd"/>
      <w:r w:rsidRPr="00177200">
        <w:rPr>
          <w:color w:val="000000"/>
        </w:rPr>
        <w:t xml:space="preserve">) meets all applicable location qualifying criteria and has gross leasable area not less than the gross leasable area of the qualified business facility initially approved by the authority and the alternate qualified business facility meets the minimum capital investment and sustainability requirements of the program; or </w:t>
      </w:r>
    </w:p>
    <w:p w14:paraId="6B9EDF75" w14:textId="2270BCDD" w:rsidR="00D44992" w:rsidRPr="00177200" w:rsidRDefault="00D44992" w:rsidP="00177200">
      <w:pPr>
        <w:autoSpaceDE w:val="0"/>
        <w:autoSpaceDN w:val="0"/>
        <w:adjustRightInd w:val="0"/>
        <w:rPr>
          <w:color w:val="000000"/>
        </w:rPr>
      </w:pPr>
      <w:r w:rsidRPr="00177200">
        <w:rPr>
          <w:color w:val="000000"/>
        </w:rPr>
        <w:tab/>
        <w:t xml:space="preserve">(ii) does not meet all applicable location qualifying criteria or has less gross leasable area than the gross leasable area of the qualified business facility initially approved by the authority, if the alternate qualified business facility meets the minimum capital investment and sustainability requirements of the program, provided that the authority shall require a new cost benefit analysis illustrating the economics of the project which reflect occupancy at the alternate proposed qualified business facility location for the remaining duration of the commitment period and shall re-calculate the net economic benefit of the project to reflect the economics of occupancy at the alternate proposed location for the remaining duration of the net benefit test period in lieu of the economics of continuing occupancy at the qualified business facility proposed to be vacated, and provided further that the award of tax credits shall be reduced consistent with the variations in qualifying criteria for the alternate qualified business facility location as well as in a manner consistent with the revised net economic benefit calculation. </w:t>
      </w:r>
    </w:p>
    <w:p w14:paraId="48EF8004" w14:textId="797C2480" w:rsidR="00D44992" w:rsidRPr="00177200" w:rsidRDefault="00D44992" w:rsidP="00177200">
      <w:pPr>
        <w:autoSpaceDE w:val="0"/>
        <w:autoSpaceDN w:val="0"/>
        <w:adjustRightInd w:val="0"/>
        <w:rPr>
          <w:color w:val="000000"/>
        </w:rPr>
      </w:pPr>
      <w:r w:rsidRPr="00177200">
        <w:rPr>
          <w:color w:val="000000"/>
        </w:rPr>
        <w:tab/>
        <w:t xml:space="preserve">(b) in the event that the modified project economics materially deviate from the economics of the initial approval in a manner that undermines the recommendation of approval made by the staff of the authority at the time of the initial approval, then the business requesting to re-locate a qualified business facility shall be required to obtain the approval of the members of the authority. </w:t>
      </w:r>
    </w:p>
    <w:p w14:paraId="270F04AD" w14:textId="0C8B263B" w:rsidR="00D44992" w:rsidRPr="00177200" w:rsidRDefault="00D44992" w:rsidP="00177200">
      <w:pPr>
        <w:autoSpaceDE w:val="0"/>
        <w:autoSpaceDN w:val="0"/>
        <w:adjustRightInd w:val="0"/>
        <w:rPr>
          <w:color w:val="000000"/>
        </w:rPr>
      </w:pPr>
      <w:r w:rsidRPr="00177200">
        <w:rPr>
          <w:color w:val="000000"/>
        </w:rPr>
        <w:tab/>
        <w:t xml:space="preserve">(2) If a tenant subleases its tenancy in whole or in part during the eligibility period, the new tenant shall not acquire the tax credits of the </w:t>
      </w:r>
      <w:proofErr w:type="spellStart"/>
      <w:r w:rsidRPr="00177200">
        <w:rPr>
          <w:color w:val="000000"/>
        </w:rPr>
        <w:t>sublessor</w:t>
      </w:r>
      <w:proofErr w:type="spellEnd"/>
      <w:r w:rsidRPr="00177200">
        <w:rPr>
          <w:color w:val="000000"/>
        </w:rPr>
        <w:t xml:space="preserve">, and the </w:t>
      </w:r>
      <w:proofErr w:type="spellStart"/>
      <w:r w:rsidRPr="00177200">
        <w:rPr>
          <w:color w:val="000000"/>
        </w:rPr>
        <w:t>sublessor</w:t>
      </w:r>
      <w:proofErr w:type="spellEnd"/>
      <w:r w:rsidRPr="00177200">
        <w:rPr>
          <w:color w:val="000000"/>
        </w:rPr>
        <w:t xml:space="preserve"> shall forfeit all tax credits for any tax period of its sublease in which the </w:t>
      </w:r>
      <w:proofErr w:type="spellStart"/>
      <w:r w:rsidRPr="00177200">
        <w:rPr>
          <w:color w:val="000000"/>
        </w:rPr>
        <w:t>sublessor</w:t>
      </w:r>
      <w:proofErr w:type="spellEnd"/>
      <w:r w:rsidRPr="00177200">
        <w:rPr>
          <w:color w:val="000000"/>
        </w:rPr>
        <w:t xml:space="preserve">, in continued occupation of a portion of the qualified business facility, fails to maintain the number of jobs required for the </w:t>
      </w:r>
      <w:proofErr w:type="spellStart"/>
      <w:r w:rsidRPr="00177200">
        <w:rPr>
          <w:color w:val="000000"/>
        </w:rPr>
        <w:t>sublessor</w:t>
      </w:r>
      <w:proofErr w:type="spellEnd"/>
      <w:r w:rsidRPr="00177200">
        <w:rPr>
          <w:color w:val="000000"/>
        </w:rPr>
        <w:t xml:space="preserve"> to earn tax credits for the tax period or fails to independently satisfy the minimum capital investment or sustainability requirements for the program as set forth in section 71 of P.L.</w:t>
      </w:r>
      <w:r w:rsidR="00462561">
        <w:rPr>
          <w:color w:val="000000"/>
        </w:rPr>
        <w:t>2020, c. 156 (C:34-1B-339)</w:t>
      </w:r>
      <w:r w:rsidRPr="00177200">
        <w:rPr>
          <w:color w:val="000000"/>
        </w:rPr>
        <w:t xml:space="preserve">. Provided, however, if the capital investment of the </w:t>
      </w:r>
      <w:proofErr w:type="spellStart"/>
      <w:r w:rsidRPr="00177200">
        <w:rPr>
          <w:color w:val="000000"/>
        </w:rPr>
        <w:t>sublessor</w:t>
      </w:r>
      <w:proofErr w:type="spellEnd"/>
      <w:r w:rsidRPr="00177200">
        <w:rPr>
          <w:color w:val="000000"/>
        </w:rPr>
        <w:t xml:space="preserve"> in the occupied potion of the qualified business facility is below the project minimum capital investment as set forth in </w:t>
      </w:r>
      <w:r w:rsidR="00462561" w:rsidRPr="00177200">
        <w:rPr>
          <w:color w:val="000000"/>
        </w:rPr>
        <w:t>section 71 of P.L.</w:t>
      </w:r>
      <w:r w:rsidR="00462561">
        <w:rPr>
          <w:color w:val="000000"/>
        </w:rPr>
        <w:t>2020, c. 156 (C:34-1B-339)</w:t>
      </w:r>
      <w:r w:rsidRPr="00177200">
        <w:rPr>
          <w:color w:val="000000"/>
        </w:rPr>
        <w:t xml:space="preserve">, the </w:t>
      </w:r>
      <w:proofErr w:type="spellStart"/>
      <w:r w:rsidRPr="00177200">
        <w:rPr>
          <w:color w:val="000000"/>
        </w:rPr>
        <w:t>sublessor</w:t>
      </w:r>
      <w:proofErr w:type="spellEnd"/>
      <w:r w:rsidRPr="00177200">
        <w:rPr>
          <w:color w:val="000000"/>
        </w:rPr>
        <w:t xml:space="preserve"> may include capital investment made by or on behalf of the new tenant in the subleased portion of the qualified business facility, so long as that capital investment is not the subject of an independent application under an incentive program with the authority. </w:t>
      </w:r>
    </w:p>
    <w:p w14:paraId="063337EB" w14:textId="7D200072" w:rsidR="00D44992" w:rsidRPr="00177200" w:rsidRDefault="00B666A2" w:rsidP="00177200">
      <w:pPr>
        <w:autoSpaceDE w:val="0"/>
        <w:autoSpaceDN w:val="0"/>
        <w:adjustRightInd w:val="0"/>
        <w:rPr>
          <w:color w:val="000000"/>
        </w:rPr>
      </w:pPr>
      <w:r>
        <w:rPr>
          <w:color w:val="000000"/>
        </w:rPr>
        <w:tab/>
        <w:t>d.</w:t>
      </w:r>
      <w:r>
        <w:rPr>
          <w:color w:val="000000"/>
        </w:rPr>
        <w:tab/>
      </w:r>
      <w:r w:rsidR="00D44992" w:rsidRPr="00177200">
        <w:rPr>
          <w:color w:val="000000"/>
        </w:rPr>
        <w:t xml:space="preserve">A small business may move its qualified business facility provided that the business remains in New Jersey during the commitment period. </w:t>
      </w:r>
    </w:p>
    <w:p w14:paraId="75F4E864" w14:textId="351CF2A5" w:rsidR="00D44992" w:rsidRPr="00177200" w:rsidRDefault="00B666A2" w:rsidP="00177200">
      <w:pPr>
        <w:autoSpaceDE w:val="0"/>
        <w:autoSpaceDN w:val="0"/>
        <w:adjustRightInd w:val="0"/>
        <w:rPr>
          <w:color w:val="000000"/>
        </w:rPr>
      </w:pPr>
      <w:r>
        <w:rPr>
          <w:color w:val="000000"/>
        </w:rPr>
        <w:tab/>
        <w:t>e.</w:t>
      </w:r>
      <w:r>
        <w:rPr>
          <w:color w:val="000000"/>
        </w:rPr>
        <w:tab/>
      </w:r>
      <w:r w:rsidR="00D44992" w:rsidRPr="00177200">
        <w:rPr>
          <w:color w:val="000000"/>
        </w:rPr>
        <w:t xml:space="preserve">The authority may require a small business to submit a growth plan, which specifies the number of new full-time employees at the qualified business facility that the eligible business will hire each year of the eligibility period; provided that by the end of the eligibility period, the eligible business shall have a minimum of 25 percent growth of its workforce with new full-time jobs. If the eligible business meets the number of new full-time employees specified in the growth plan each year of the eligibility period, then the eligible business shall be entitled to an increased credit amount for that tax period, and each subsequent tax period, for each additional full-time employee added above the number of full-time employees certified, until the full-time employees number the maximum number projected for the final year of the eligibility period. Failure to meet the projections in any year shall not constitute a default but shall cause the authority to reduce the award in accordance with a schedule attached to the project agreement. </w:t>
      </w:r>
    </w:p>
    <w:p w14:paraId="4F84431B" w14:textId="720F66A1" w:rsidR="00D44992" w:rsidRPr="00177200" w:rsidRDefault="00B666A2" w:rsidP="00177200">
      <w:pPr>
        <w:autoSpaceDE w:val="0"/>
        <w:autoSpaceDN w:val="0"/>
        <w:adjustRightInd w:val="0"/>
        <w:rPr>
          <w:color w:val="000000"/>
        </w:rPr>
      </w:pPr>
      <w:r>
        <w:rPr>
          <w:color w:val="000000"/>
        </w:rPr>
        <w:tab/>
        <w:t>f.</w:t>
      </w:r>
      <w:r>
        <w:rPr>
          <w:color w:val="000000"/>
        </w:rPr>
        <w:tab/>
      </w:r>
      <w:r w:rsidR="00D44992" w:rsidRPr="00177200">
        <w:rPr>
          <w:color w:val="000000"/>
        </w:rPr>
        <w:t>(1)</w:t>
      </w:r>
      <w:r>
        <w:rPr>
          <w:color w:val="000000"/>
        </w:rPr>
        <w:t xml:space="preserve"> </w:t>
      </w:r>
      <w:r w:rsidR="00D44992" w:rsidRPr="00177200">
        <w:rPr>
          <w:color w:val="000000"/>
        </w:rPr>
        <w:t xml:space="preserve"> The authority may recapture all or part of a tax credit awarded if an eligible business does not remain in compliance with the requirements of a project agreement for the duration of the commitment period. A recapture pursuant to this subsection may include interest on the recapture amount, at a rate equal to the statutory rate for corporate business or insurance premiums tax deficiencies, plus any statutory penalties, and all costs incurred by the authority and the Division of Taxation in the Department of the Treasury in connection with the pursuit of the recapture, including, but not limited to, counsel fees, court costs, and other costs of collection. Failure of the eligible business to meet any program criteria shall constitute a default and shall result in the recapture of all or part of the tax credit awarded. </w:t>
      </w:r>
    </w:p>
    <w:p w14:paraId="200F498A" w14:textId="2905EF32" w:rsidR="00D44992" w:rsidRPr="00177200" w:rsidRDefault="00D44992" w:rsidP="00177200">
      <w:pPr>
        <w:autoSpaceDE w:val="0"/>
        <w:autoSpaceDN w:val="0"/>
        <w:adjustRightInd w:val="0"/>
        <w:rPr>
          <w:color w:val="000000"/>
        </w:rPr>
      </w:pPr>
      <w:r w:rsidRPr="00177200">
        <w:rPr>
          <w:color w:val="000000"/>
        </w:rPr>
        <w:tab/>
        <w:t>(2) If all or part of a tax credit sold or assigned pursuant to section 78 of P.L.</w:t>
      </w:r>
      <w:r w:rsidR="00462561">
        <w:rPr>
          <w:color w:val="000000"/>
        </w:rPr>
        <w:t>2020, c.156 (C:34:1B-346)</w:t>
      </w:r>
      <w:r w:rsidRPr="00177200">
        <w:rPr>
          <w:color w:val="000000"/>
        </w:rPr>
        <w:t xml:space="preserve"> is subject to recapture, then the authority shall pursue recapture from the eligible business and not from the purchaser or assignee of the tax credit transfer certificate. The purchaser or assignee of a tax credit transfer certificate shall be subject to any limitations and conditions that apply to the use of the tax credits by the eligible business. </w:t>
      </w:r>
    </w:p>
    <w:p w14:paraId="0584E7BD" w14:textId="7C8489FA" w:rsidR="00D44992" w:rsidRPr="00177200" w:rsidRDefault="00D44992" w:rsidP="00177200">
      <w:pPr>
        <w:autoSpaceDE w:val="0"/>
        <w:autoSpaceDN w:val="0"/>
        <w:adjustRightInd w:val="0"/>
        <w:rPr>
          <w:color w:val="000000"/>
        </w:rPr>
      </w:pPr>
      <w:r w:rsidRPr="00177200">
        <w:rPr>
          <w:color w:val="000000"/>
        </w:rPr>
        <w:tab/>
        <w:t xml:space="preserve">(3) Any funds recaptured pursuant to this subsection, including penalties and interest, shall be deposited into the General Fund of the State. </w:t>
      </w:r>
    </w:p>
    <w:p w14:paraId="56BADE67" w14:textId="615C007A" w:rsidR="00D44992" w:rsidRPr="00177200" w:rsidRDefault="00B666A2" w:rsidP="00177200">
      <w:pPr>
        <w:autoSpaceDE w:val="0"/>
        <w:autoSpaceDN w:val="0"/>
        <w:adjustRightInd w:val="0"/>
        <w:rPr>
          <w:color w:val="000000"/>
        </w:rPr>
      </w:pPr>
      <w:r>
        <w:rPr>
          <w:color w:val="000000"/>
        </w:rPr>
        <w:tab/>
        <w:t>g.</w:t>
      </w:r>
      <w:r>
        <w:rPr>
          <w:color w:val="000000"/>
        </w:rPr>
        <w:tab/>
      </w:r>
      <w:r w:rsidR="00D44992" w:rsidRPr="00177200">
        <w:rPr>
          <w:color w:val="000000"/>
        </w:rPr>
        <w:t xml:space="preserve">A business may include an affiliate for any period, provided that the business provides a valid tax clearance certificate for the affiliate and a verification of the nature of the affiliate relationship during the relevant period, and provided further that the affiliate provides acceptable responses to the authority’s legal disclosures inquiries, as determined by the authority. A formal modification of the authority’s approval of the incentive agreement shall not be necessary to add or remove an affiliate after approval or execution of the incentive agreement. </w:t>
      </w:r>
    </w:p>
    <w:p w14:paraId="59F2FDB8" w14:textId="7F4E21CA" w:rsidR="00D44992" w:rsidRPr="00177200" w:rsidRDefault="00B666A2" w:rsidP="006B467E">
      <w:r>
        <w:tab/>
        <w:t>h.</w:t>
      </w:r>
      <w:r>
        <w:tab/>
      </w:r>
      <w:r w:rsidR="00D44992" w:rsidRPr="00177200">
        <w:t>A business may change its name filed with the authority by providing a copy of the filed amendment to the certificate of incorporation or formation, as the case may be, of the business and a valid tax clearance certificate with the business’s new name. A formal modification of the authority’s approval shall not be necessary to change a business’s name after approval or execution of the incentive agreement.</w:t>
      </w:r>
    </w:p>
    <w:p w14:paraId="2F7D3E53" w14:textId="6A46BE2C" w:rsidR="00F536F1" w:rsidRPr="00177200" w:rsidRDefault="00F536F1" w:rsidP="006B467E">
      <w:r w:rsidRPr="00177200">
        <w:t>(</w:t>
      </w:r>
      <w:proofErr w:type="spellStart"/>
      <w:r w:rsidRPr="00177200">
        <w:t>cf</w:t>
      </w:r>
      <w:proofErr w:type="spellEnd"/>
      <w:r w:rsidRPr="00177200">
        <w:t>:  P.L.</w:t>
      </w:r>
      <w:r w:rsidR="00AD329F" w:rsidRPr="00177200">
        <w:t>2020</w:t>
      </w:r>
      <w:r w:rsidRPr="00177200">
        <w:t>, c.</w:t>
      </w:r>
      <w:r w:rsidR="00AD329F" w:rsidRPr="00177200">
        <w:t>156</w:t>
      </w:r>
      <w:r w:rsidRPr="00177200">
        <w:t>, s.</w:t>
      </w:r>
      <w:r w:rsidR="00DF227E" w:rsidRPr="00177200">
        <w:t>7</w:t>
      </w:r>
      <w:r w:rsidR="00462561">
        <w:t>6</w:t>
      </w:r>
      <w:r w:rsidRPr="00177200">
        <w:t>)</w:t>
      </w:r>
    </w:p>
    <w:p w14:paraId="066F8FCD" w14:textId="77777777" w:rsidR="00D44992" w:rsidRPr="00177200" w:rsidRDefault="00D44992" w:rsidP="00AE7815"/>
    <w:p w14:paraId="6B742337" w14:textId="6033B480" w:rsidR="00686AEB" w:rsidRPr="00177200" w:rsidRDefault="00AC7819" w:rsidP="00177200">
      <w:r w:rsidRPr="00177200">
        <w:tab/>
      </w:r>
      <w:r w:rsidR="00831CC9" w:rsidRPr="00177200">
        <w:t>3</w:t>
      </w:r>
      <w:r w:rsidR="00AD4564" w:rsidRPr="00177200">
        <w:t>.</w:t>
      </w:r>
      <w:r w:rsidR="00AD4564" w:rsidRPr="00177200">
        <w:tab/>
      </w:r>
      <w:r w:rsidR="00187497" w:rsidRPr="00177200">
        <w:t>This act shall take effect</w:t>
      </w:r>
      <w:r w:rsidR="00AD4564" w:rsidRPr="00177200">
        <w:t xml:space="preserve"> </w:t>
      </w:r>
      <w:r w:rsidR="00D16E5B" w:rsidRPr="00177200">
        <w:t>immediately</w:t>
      </w:r>
      <w:r w:rsidR="00AD4564" w:rsidRPr="00177200">
        <w:t xml:space="preserve">. </w:t>
      </w:r>
    </w:p>
    <w:p w14:paraId="6177F4BB" w14:textId="77777777" w:rsidR="00686AEB" w:rsidRDefault="00686AEB" w:rsidP="00686AEB"/>
    <w:p w14:paraId="51F49E99" w14:textId="77777777" w:rsidR="00AD4564" w:rsidRPr="00CE7BD8" w:rsidRDefault="00AD4564" w:rsidP="00686AEB"/>
    <w:p w14:paraId="3075264E" w14:textId="77777777" w:rsidR="00686AEB" w:rsidRPr="00AA7880" w:rsidRDefault="00686AEB" w:rsidP="00686AEB">
      <w:pPr>
        <w:jc w:val="center"/>
      </w:pPr>
      <w:r w:rsidRPr="00D71D68">
        <w:t>STATEMENT</w:t>
      </w:r>
    </w:p>
    <w:p w14:paraId="194B4632" w14:textId="77777777" w:rsidR="00686AEB" w:rsidRDefault="00686AEB" w:rsidP="00686AEB"/>
    <w:p w14:paraId="7D07DB13" w14:textId="77777777" w:rsidR="00C04A83" w:rsidRPr="00342151" w:rsidRDefault="00AD4564" w:rsidP="00C04A83">
      <w:r>
        <w:tab/>
      </w:r>
      <w:r w:rsidR="00C04A83" w:rsidRPr="00342151">
        <w:t xml:space="preserve">This bill </w:t>
      </w:r>
      <w:r w:rsidR="00C04A83">
        <w:t>increases the remote work flexibility for current New Jersey Economic Development Authority (EDA) tax credit awardees</w:t>
      </w:r>
      <w:r w:rsidR="00C04A83" w:rsidRPr="00342151">
        <w:t xml:space="preserve">.  </w:t>
      </w:r>
    </w:p>
    <w:p w14:paraId="79D1F564" w14:textId="316C602A" w:rsidR="00D34B70" w:rsidRPr="00342151" w:rsidRDefault="00C04A83" w:rsidP="00C04A83">
      <w:r w:rsidRPr="00342151">
        <w:tab/>
        <w:t xml:space="preserve">Businesses that </w:t>
      </w:r>
      <w:r w:rsidRPr="00342151">
        <w:rPr>
          <w:color w:val="26282A"/>
          <w:shd w:val="clear" w:color="auto" w:fill="FFFFFF"/>
        </w:rPr>
        <w:t xml:space="preserve">received </w:t>
      </w:r>
      <w:r>
        <w:rPr>
          <w:color w:val="26282A"/>
          <w:shd w:val="clear" w:color="auto" w:fill="FFFFFF"/>
        </w:rPr>
        <w:t xml:space="preserve">certain </w:t>
      </w:r>
      <w:r w:rsidRPr="00342151">
        <w:rPr>
          <w:color w:val="26282A"/>
          <w:shd w:val="clear" w:color="auto" w:fill="FFFFFF"/>
        </w:rPr>
        <w:t xml:space="preserve">tax </w:t>
      </w:r>
      <w:r>
        <w:rPr>
          <w:color w:val="26282A"/>
          <w:shd w:val="clear" w:color="auto" w:fill="FFFFFF"/>
        </w:rPr>
        <w:t>credit</w:t>
      </w:r>
      <w:r w:rsidRPr="00342151">
        <w:rPr>
          <w:color w:val="26282A"/>
          <w:shd w:val="clear" w:color="auto" w:fill="FFFFFF"/>
        </w:rPr>
        <w:t xml:space="preserve"> awards</w:t>
      </w:r>
      <w:r>
        <w:rPr>
          <w:color w:val="26282A"/>
          <w:shd w:val="clear" w:color="auto" w:fill="FFFFFF"/>
        </w:rPr>
        <w:t xml:space="preserve"> </w:t>
      </w:r>
      <w:r w:rsidRPr="00CB6428">
        <w:rPr>
          <w:color w:val="26282A"/>
          <w:shd w:val="clear" w:color="auto" w:fill="FFFFFF"/>
        </w:rPr>
        <w:t xml:space="preserve">under the </w:t>
      </w:r>
      <w:r>
        <w:rPr>
          <w:color w:val="26282A"/>
          <w:shd w:val="clear" w:color="auto" w:fill="FFFFFF"/>
        </w:rPr>
        <w:t xml:space="preserve">“New Jersey </w:t>
      </w:r>
      <w:r w:rsidRPr="00CB6428">
        <w:rPr>
          <w:color w:val="26282A"/>
          <w:shd w:val="clear" w:color="auto" w:fill="FFFFFF"/>
        </w:rPr>
        <w:t>Economic Opportunity Act</w:t>
      </w:r>
      <w:r>
        <w:rPr>
          <w:color w:val="26282A"/>
          <w:shd w:val="clear" w:color="auto" w:fill="FFFFFF"/>
        </w:rPr>
        <w:t xml:space="preserve"> of 2013”</w:t>
      </w:r>
      <w:r w:rsidRPr="00CB6428">
        <w:rPr>
          <w:color w:val="26282A"/>
          <w:shd w:val="clear" w:color="auto" w:fill="FFFFFF"/>
        </w:rPr>
        <w:t xml:space="preserve"> </w:t>
      </w:r>
      <w:r w:rsidRPr="00342151">
        <w:rPr>
          <w:color w:val="26282A"/>
          <w:shd w:val="clear" w:color="auto" w:fill="FFFFFF"/>
        </w:rPr>
        <w:t xml:space="preserve">prior to the </w:t>
      </w:r>
      <w:r>
        <w:rPr>
          <w:color w:val="26282A"/>
          <w:shd w:val="clear" w:color="auto" w:fill="FFFFFF"/>
        </w:rPr>
        <w:t xml:space="preserve">coronavirus 2019 (COVID-19) </w:t>
      </w:r>
      <w:r w:rsidRPr="00342151">
        <w:rPr>
          <w:color w:val="26282A"/>
          <w:shd w:val="clear" w:color="auto" w:fill="FFFFFF"/>
        </w:rPr>
        <w:t xml:space="preserve">pandemic agreed, as a condition of receiving the award, that 80 percent of the </w:t>
      </w:r>
      <w:r>
        <w:rPr>
          <w:color w:val="26282A"/>
          <w:shd w:val="clear" w:color="auto" w:fill="FFFFFF"/>
        </w:rPr>
        <w:t xml:space="preserve">business’s </w:t>
      </w:r>
      <w:r w:rsidRPr="00342151">
        <w:rPr>
          <w:color w:val="26282A"/>
          <w:shd w:val="clear" w:color="auto" w:fill="FFFFFF"/>
        </w:rPr>
        <w:t xml:space="preserve">employees </w:t>
      </w:r>
      <w:r>
        <w:rPr>
          <w:color w:val="26282A"/>
          <w:shd w:val="clear" w:color="auto" w:fill="FFFFFF"/>
        </w:rPr>
        <w:t>are to</w:t>
      </w:r>
      <w:r w:rsidRPr="00342151">
        <w:rPr>
          <w:color w:val="26282A"/>
          <w:shd w:val="clear" w:color="auto" w:fill="FFFFFF"/>
        </w:rPr>
        <w:t xml:space="preserve"> be on-site </w:t>
      </w:r>
      <w:r>
        <w:rPr>
          <w:color w:val="26282A"/>
          <w:shd w:val="clear" w:color="auto" w:fill="FFFFFF"/>
        </w:rPr>
        <w:t xml:space="preserve">for at least </w:t>
      </w:r>
      <w:r w:rsidRPr="00342151">
        <w:rPr>
          <w:color w:val="26282A"/>
          <w:shd w:val="clear" w:color="auto" w:fill="FFFFFF"/>
        </w:rPr>
        <w:t>80 percent of their worktime</w:t>
      </w:r>
      <w:r>
        <w:rPr>
          <w:color w:val="26282A"/>
          <w:shd w:val="clear" w:color="auto" w:fill="FFFFFF"/>
        </w:rPr>
        <w:t>, known as the“</w:t>
      </w:r>
      <w:r w:rsidRPr="00342151">
        <w:rPr>
          <w:color w:val="26282A"/>
          <w:shd w:val="clear" w:color="auto" w:fill="FFFFFF"/>
        </w:rPr>
        <w:t>80/80 policy.</w:t>
      </w:r>
      <w:r>
        <w:rPr>
          <w:color w:val="26282A"/>
          <w:shd w:val="clear" w:color="auto" w:fill="FFFFFF"/>
        </w:rPr>
        <w:t>”</w:t>
      </w:r>
      <w:r w:rsidRPr="00342151">
        <w:rPr>
          <w:color w:val="26282A"/>
          <w:shd w:val="clear" w:color="auto" w:fill="FFFFFF"/>
        </w:rPr>
        <w:t xml:space="preserve"> Due to the </w:t>
      </w:r>
      <w:r>
        <w:rPr>
          <w:color w:val="26282A"/>
          <w:shd w:val="clear" w:color="auto" w:fill="FFFFFF"/>
        </w:rPr>
        <w:t>COVID-19</w:t>
      </w:r>
      <w:r w:rsidRPr="00342151">
        <w:rPr>
          <w:color w:val="26282A"/>
          <w:shd w:val="clear" w:color="auto" w:fill="FFFFFF"/>
        </w:rPr>
        <w:t xml:space="preserve"> pandemic and the subsequent Executive Orders</w:t>
      </w:r>
      <w:r>
        <w:rPr>
          <w:color w:val="26282A"/>
          <w:shd w:val="clear" w:color="auto" w:fill="FFFFFF"/>
        </w:rPr>
        <w:t xml:space="preserve"> issued by the Governor in response to the unprecedented public health and economic impact it posed and still continues to pose</w:t>
      </w:r>
      <w:r w:rsidRPr="00342151">
        <w:rPr>
          <w:color w:val="26282A"/>
          <w:shd w:val="clear" w:color="auto" w:fill="FFFFFF"/>
        </w:rPr>
        <w:t xml:space="preserve">, many businesses have been forced to </w:t>
      </w:r>
      <w:r>
        <w:rPr>
          <w:color w:val="26282A"/>
          <w:shd w:val="clear" w:color="auto" w:fill="FFFFFF"/>
        </w:rPr>
        <w:t>allow</w:t>
      </w:r>
      <w:r w:rsidRPr="00342151">
        <w:rPr>
          <w:color w:val="26282A"/>
          <w:shd w:val="clear" w:color="auto" w:fill="FFFFFF"/>
        </w:rPr>
        <w:t xml:space="preserve"> their employees to work remotely.  </w:t>
      </w:r>
      <w:r>
        <w:rPr>
          <w:color w:val="26282A"/>
          <w:shd w:val="clear" w:color="auto" w:fill="FFFFFF"/>
        </w:rPr>
        <w:t xml:space="preserve">This situation has negatively affected EDA tax credit awardees, who, under current law, must </w:t>
      </w:r>
      <w:r w:rsidRPr="004C3CC7">
        <w:rPr>
          <w:color w:val="26282A"/>
          <w:shd w:val="clear" w:color="auto" w:fill="FFFFFF"/>
        </w:rPr>
        <w:t>forfeit tax credit amount</w:t>
      </w:r>
      <w:r>
        <w:rPr>
          <w:color w:val="26282A"/>
          <w:shd w:val="clear" w:color="auto" w:fill="FFFFFF"/>
        </w:rPr>
        <w:t>s</w:t>
      </w:r>
      <w:r w:rsidRPr="004C3CC7">
        <w:rPr>
          <w:color w:val="26282A"/>
          <w:shd w:val="clear" w:color="auto" w:fill="FFFFFF"/>
        </w:rPr>
        <w:t xml:space="preserve"> </w:t>
      </w:r>
      <w:r>
        <w:rPr>
          <w:color w:val="26282A"/>
          <w:shd w:val="clear" w:color="auto" w:fill="FFFFFF"/>
        </w:rPr>
        <w:t xml:space="preserve">until the business can demonstrate </w:t>
      </w:r>
      <w:r w:rsidRPr="004C3CC7">
        <w:rPr>
          <w:color w:val="26282A"/>
          <w:shd w:val="clear" w:color="auto" w:fill="FFFFFF"/>
        </w:rPr>
        <w:t xml:space="preserve">the restoration of the number of full-time employees employed by the eligible business at </w:t>
      </w:r>
      <w:r>
        <w:rPr>
          <w:color w:val="26282A"/>
          <w:shd w:val="clear" w:color="auto" w:fill="FFFFFF"/>
        </w:rPr>
        <w:t>its</w:t>
      </w:r>
      <w:r w:rsidRPr="004C3CC7">
        <w:rPr>
          <w:color w:val="26282A"/>
          <w:shd w:val="clear" w:color="auto" w:fill="FFFFFF"/>
        </w:rPr>
        <w:t xml:space="preserve"> qualified business facility</w:t>
      </w:r>
      <w:r>
        <w:rPr>
          <w:color w:val="26282A"/>
          <w:shd w:val="clear" w:color="auto" w:fill="FFFFFF"/>
        </w:rPr>
        <w:t xml:space="preserve"> under the </w:t>
      </w:r>
      <w:r w:rsidRPr="00342151">
        <w:rPr>
          <w:color w:val="26282A"/>
          <w:shd w:val="clear" w:color="auto" w:fill="FFFFFF"/>
        </w:rPr>
        <w:t>80/80 policy</w:t>
      </w:r>
      <w:r>
        <w:rPr>
          <w:color w:val="26282A"/>
          <w:shd w:val="clear" w:color="auto" w:fill="FFFFFF"/>
        </w:rPr>
        <w:t>.  This bill allows businesses to retain and continue to be eligible for tax credit awards by letting employees work at any location, not just those deemed to be qualified business facilities.</w:t>
      </w:r>
    </w:p>
    <w:sectPr w:rsidR="00D34B70" w:rsidRPr="00342151" w:rsidSect="0045444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384B7E" w14:textId="77777777" w:rsidR="000E1450" w:rsidRDefault="000E1450">
      <w:r>
        <w:separator/>
      </w:r>
    </w:p>
  </w:endnote>
  <w:endnote w:type="continuationSeparator" w:id="0">
    <w:p w14:paraId="72FDBACE" w14:textId="77777777" w:rsidR="000E1450" w:rsidRDefault="000E1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CE2B5" w14:textId="42373A70" w:rsidR="00C97200" w:rsidRDefault="00C97200" w:rsidP="00C97200">
    <w:pPr>
      <w:pStyle w:val="sponUdate"/>
    </w:pPr>
    <w:r>
      <w:t>(Sponsorship Updated As Of: 5/</w:t>
    </w:r>
    <w:r w:rsidR="00C95A95">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0EF1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55415" w14:textId="77777777" w:rsidR="00187497" w:rsidRPr="00921C91" w:rsidRDefault="001874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D37771B" w14:textId="77777777" w:rsidR="00187497" w:rsidRPr="00921C91" w:rsidRDefault="00187497">
    <w:pPr>
      <w:pStyle w:val="Footer"/>
      <w:rPr>
        <w:szCs w:val="18"/>
      </w:rPr>
    </w:pPr>
  </w:p>
  <w:p w14:paraId="13E1199B" w14:textId="77777777" w:rsidR="00187497" w:rsidRPr="00921C91" w:rsidRDefault="001874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DA01E22" w14:textId="77777777" w:rsidR="00187497" w:rsidRDefault="00187497">
    <w:pPr>
      <w:pStyle w:val="Footer"/>
    </w:pPr>
  </w:p>
  <w:p w14:paraId="42B0DB7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ECBD78" w14:textId="77777777" w:rsidR="000E1450" w:rsidRDefault="000E1450">
      <w:r>
        <w:separator/>
      </w:r>
    </w:p>
  </w:footnote>
  <w:footnote w:type="continuationSeparator" w:id="0">
    <w:p w14:paraId="09FFA08A" w14:textId="77777777" w:rsidR="000E1450" w:rsidRDefault="000E1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8BA90" w14:textId="77777777" w:rsidR="00665CBC" w:rsidRDefault="00D34780">
    <w:pPr>
      <w:pStyle w:val="Header"/>
    </w:pPr>
    <w:r>
      <w:rPr>
        <w:noProof/>
      </w:rPr>
      <w:pict w14:anchorId="5A0885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80003"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CFC42" w14:textId="2F8CECA1" w:rsidR="00665CBC" w:rsidRDefault="00665CBC" w:rsidP="00686AEB">
    <w:pPr>
      <w:pStyle w:val="Header"/>
      <w:jc w:val="center"/>
      <w:rPr>
        <w:rStyle w:val="PageNumber"/>
      </w:rPr>
    </w:pPr>
  </w:p>
  <w:p w14:paraId="4C5E96B5" w14:textId="269D29E5" w:rsidR="00454441" w:rsidRDefault="00454441" w:rsidP="00454441">
    <w:pPr>
      <w:pStyle w:val="bpuHeadSpon"/>
    </w:pPr>
    <w:r w:rsidRPr="00454441">
      <w:rPr>
        <w:rStyle w:val="bpuHeadSponChar"/>
      </w:rPr>
      <w:t>A5486</w:t>
    </w:r>
    <w:r>
      <w:t xml:space="preserve"> DANCER</w:t>
    </w:r>
  </w:p>
  <w:p w14:paraId="765D096F" w14:textId="0E3D2FFC" w:rsidR="00454441" w:rsidRDefault="00454441" w:rsidP="00454441">
    <w:pPr>
      <w:pStyle w:val="bpuHeadSpon"/>
    </w:pPr>
    <w:r>
      <w:fldChar w:fldCharType="begin"/>
    </w:r>
    <w:r>
      <w:instrText xml:space="preserve"> PAGE  \* MERGEFORMAT </w:instrText>
    </w:r>
    <w:r>
      <w:fldChar w:fldCharType="separate"/>
    </w:r>
    <w:r w:rsidR="00D34780">
      <w:rPr>
        <w:noProof/>
      </w:rPr>
      <w:t>7</w:t>
    </w:r>
    <w:r>
      <w:fldChar w:fldCharType="end"/>
    </w:r>
  </w:p>
  <w:p w14:paraId="59A37F9B" w14:textId="77777777" w:rsidR="00454441" w:rsidRDefault="00454441" w:rsidP="004544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78C7F" w14:textId="2DE298FB" w:rsidR="00665CBC" w:rsidRDefault="00665CBC">
    <w:pPr>
      <w:pStyle w:val="Header"/>
    </w:pPr>
  </w:p>
  <w:p w14:paraId="69139BD7" w14:textId="32487D05" w:rsidR="00454441" w:rsidRDefault="00454441" w:rsidP="00454441">
    <w:pPr>
      <w:pStyle w:val="bpuHeadSpon"/>
    </w:pPr>
    <w:r w:rsidRPr="00454441">
      <w:rPr>
        <w:rStyle w:val="bpuHeadSponChar"/>
      </w:rPr>
      <w:t>A5486</w:t>
    </w:r>
    <w:r>
      <w:t xml:space="preserve"> DANCER</w:t>
    </w:r>
  </w:p>
  <w:p w14:paraId="21F0EC1B" w14:textId="4C79A5FA" w:rsidR="00454441" w:rsidRDefault="00454441" w:rsidP="00454441">
    <w:pPr>
      <w:pStyle w:val="bpuHeadSpon"/>
    </w:pPr>
    <w:r>
      <w:fldChar w:fldCharType="begin"/>
    </w:r>
    <w:r>
      <w:instrText xml:space="preserve"> PAGE  \* MERGEFORMAT </w:instrText>
    </w:r>
    <w:r>
      <w:fldChar w:fldCharType="separate"/>
    </w:r>
    <w:r w:rsidR="00D34780">
      <w:rPr>
        <w:noProof/>
      </w:rPr>
      <w:t>2</w:t>
    </w:r>
    <w:r>
      <w:fldChar w:fldCharType="end"/>
    </w:r>
  </w:p>
  <w:p w14:paraId="19F6C802" w14:textId="77777777" w:rsidR="00454441" w:rsidRDefault="00454441" w:rsidP="004544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58B"/>
    <w:rsid w:val="000051BD"/>
    <w:rsid w:val="00015327"/>
    <w:rsid w:val="000160A5"/>
    <w:rsid w:val="0002155D"/>
    <w:rsid w:val="0002335B"/>
    <w:rsid w:val="000250D2"/>
    <w:rsid w:val="000250F9"/>
    <w:rsid w:val="0003549A"/>
    <w:rsid w:val="000367AE"/>
    <w:rsid w:val="00041D52"/>
    <w:rsid w:val="00042F39"/>
    <w:rsid w:val="00043B22"/>
    <w:rsid w:val="00054975"/>
    <w:rsid w:val="00057D20"/>
    <w:rsid w:val="0006197C"/>
    <w:rsid w:val="0006281F"/>
    <w:rsid w:val="000713A9"/>
    <w:rsid w:val="0008141C"/>
    <w:rsid w:val="00086EDD"/>
    <w:rsid w:val="00092F6B"/>
    <w:rsid w:val="00094A55"/>
    <w:rsid w:val="000A44A7"/>
    <w:rsid w:val="000B1054"/>
    <w:rsid w:val="000B3411"/>
    <w:rsid w:val="000B5D09"/>
    <w:rsid w:val="000C054C"/>
    <w:rsid w:val="000C12C2"/>
    <w:rsid w:val="000C482E"/>
    <w:rsid w:val="000C5038"/>
    <w:rsid w:val="000D11AF"/>
    <w:rsid w:val="000D6255"/>
    <w:rsid w:val="000D6262"/>
    <w:rsid w:val="000D7B4A"/>
    <w:rsid w:val="000E1450"/>
    <w:rsid w:val="000E4006"/>
    <w:rsid w:val="000F3DA2"/>
    <w:rsid w:val="000F5FDE"/>
    <w:rsid w:val="000F7466"/>
    <w:rsid w:val="00115623"/>
    <w:rsid w:val="0013000E"/>
    <w:rsid w:val="00133F81"/>
    <w:rsid w:val="00135943"/>
    <w:rsid w:val="0014664C"/>
    <w:rsid w:val="00156DB6"/>
    <w:rsid w:val="001645FB"/>
    <w:rsid w:val="00173D2B"/>
    <w:rsid w:val="00177200"/>
    <w:rsid w:val="00181676"/>
    <w:rsid w:val="00181997"/>
    <w:rsid w:val="00183603"/>
    <w:rsid w:val="0018410E"/>
    <w:rsid w:val="00187497"/>
    <w:rsid w:val="00194E78"/>
    <w:rsid w:val="0019707B"/>
    <w:rsid w:val="00197E8B"/>
    <w:rsid w:val="00197FA4"/>
    <w:rsid w:val="001A1450"/>
    <w:rsid w:val="001A161A"/>
    <w:rsid w:val="001A3B79"/>
    <w:rsid w:val="001A66B6"/>
    <w:rsid w:val="001B4716"/>
    <w:rsid w:val="001B4EA4"/>
    <w:rsid w:val="001C7C52"/>
    <w:rsid w:val="001D25F3"/>
    <w:rsid w:val="001D5BA9"/>
    <w:rsid w:val="001E15F1"/>
    <w:rsid w:val="001E16FA"/>
    <w:rsid w:val="001E6213"/>
    <w:rsid w:val="001F14C7"/>
    <w:rsid w:val="001F7405"/>
    <w:rsid w:val="00201F53"/>
    <w:rsid w:val="00205533"/>
    <w:rsid w:val="00212B8D"/>
    <w:rsid w:val="002138EB"/>
    <w:rsid w:val="002206C8"/>
    <w:rsid w:val="00222983"/>
    <w:rsid w:val="00223AD7"/>
    <w:rsid w:val="00230F8A"/>
    <w:rsid w:val="002370D0"/>
    <w:rsid w:val="00247572"/>
    <w:rsid w:val="00255958"/>
    <w:rsid w:val="00257FA2"/>
    <w:rsid w:val="0026574A"/>
    <w:rsid w:val="002660BB"/>
    <w:rsid w:val="002720E8"/>
    <w:rsid w:val="00275293"/>
    <w:rsid w:val="002776B0"/>
    <w:rsid w:val="00284955"/>
    <w:rsid w:val="00286C7E"/>
    <w:rsid w:val="002A1029"/>
    <w:rsid w:val="002A3A1A"/>
    <w:rsid w:val="002A4692"/>
    <w:rsid w:val="002A51BA"/>
    <w:rsid w:val="002B2E26"/>
    <w:rsid w:val="002B3FE6"/>
    <w:rsid w:val="002C2D81"/>
    <w:rsid w:val="002C461E"/>
    <w:rsid w:val="002C6CEC"/>
    <w:rsid w:val="002E09CE"/>
    <w:rsid w:val="002E133A"/>
    <w:rsid w:val="002E69D1"/>
    <w:rsid w:val="002F3BA6"/>
    <w:rsid w:val="00315320"/>
    <w:rsid w:val="00324BCC"/>
    <w:rsid w:val="00325776"/>
    <w:rsid w:val="00325E27"/>
    <w:rsid w:val="00330395"/>
    <w:rsid w:val="00332829"/>
    <w:rsid w:val="00333704"/>
    <w:rsid w:val="00336624"/>
    <w:rsid w:val="0034025F"/>
    <w:rsid w:val="00340458"/>
    <w:rsid w:val="0034200F"/>
    <w:rsid w:val="00342151"/>
    <w:rsid w:val="003446A0"/>
    <w:rsid w:val="0034481B"/>
    <w:rsid w:val="00346915"/>
    <w:rsid w:val="00350130"/>
    <w:rsid w:val="00354334"/>
    <w:rsid w:val="0036180C"/>
    <w:rsid w:val="00363CF5"/>
    <w:rsid w:val="00364344"/>
    <w:rsid w:val="003702CA"/>
    <w:rsid w:val="00370617"/>
    <w:rsid w:val="003826F2"/>
    <w:rsid w:val="00382F1F"/>
    <w:rsid w:val="003840E5"/>
    <w:rsid w:val="00385D06"/>
    <w:rsid w:val="00391833"/>
    <w:rsid w:val="00391DA4"/>
    <w:rsid w:val="003A3C64"/>
    <w:rsid w:val="003A3F83"/>
    <w:rsid w:val="003C01EB"/>
    <w:rsid w:val="003C43EF"/>
    <w:rsid w:val="003C5A6B"/>
    <w:rsid w:val="003C7FB2"/>
    <w:rsid w:val="003D0059"/>
    <w:rsid w:val="003D24DE"/>
    <w:rsid w:val="003E26D4"/>
    <w:rsid w:val="003E47BA"/>
    <w:rsid w:val="003F1EF1"/>
    <w:rsid w:val="003F3B37"/>
    <w:rsid w:val="0040195A"/>
    <w:rsid w:val="00402DC0"/>
    <w:rsid w:val="00416C4B"/>
    <w:rsid w:val="0041751E"/>
    <w:rsid w:val="004211E5"/>
    <w:rsid w:val="00422091"/>
    <w:rsid w:val="0043386C"/>
    <w:rsid w:val="00436F2D"/>
    <w:rsid w:val="00436F5D"/>
    <w:rsid w:val="00441B42"/>
    <w:rsid w:val="0045118A"/>
    <w:rsid w:val="00454441"/>
    <w:rsid w:val="00455545"/>
    <w:rsid w:val="00455D51"/>
    <w:rsid w:val="00456BF9"/>
    <w:rsid w:val="004602E4"/>
    <w:rsid w:val="00461057"/>
    <w:rsid w:val="00462561"/>
    <w:rsid w:val="004704A8"/>
    <w:rsid w:val="00471102"/>
    <w:rsid w:val="0047158B"/>
    <w:rsid w:val="00471F18"/>
    <w:rsid w:val="00472F2A"/>
    <w:rsid w:val="00484144"/>
    <w:rsid w:val="00484C19"/>
    <w:rsid w:val="00484F4F"/>
    <w:rsid w:val="00485866"/>
    <w:rsid w:val="00492076"/>
    <w:rsid w:val="00493B1D"/>
    <w:rsid w:val="00497037"/>
    <w:rsid w:val="004A1935"/>
    <w:rsid w:val="004A3009"/>
    <w:rsid w:val="004A6940"/>
    <w:rsid w:val="004A77A4"/>
    <w:rsid w:val="004B7533"/>
    <w:rsid w:val="004C3CC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7AB4"/>
    <w:rsid w:val="005A5D8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C0E"/>
    <w:rsid w:val="00642D60"/>
    <w:rsid w:val="00645E6A"/>
    <w:rsid w:val="00646784"/>
    <w:rsid w:val="006470F1"/>
    <w:rsid w:val="00665CBC"/>
    <w:rsid w:val="00667A5C"/>
    <w:rsid w:val="00673C34"/>
    <w:rsid w:val="00677316"/>
    <w:rsid w:val="006849DC"/>
    <w:rsid w:val="00686AEB"/>
    <w:rsid w:val="006A3F7B"/>
    <w:rsid w:val="006B467E"/>
    <w:rsid w:val="006B7897"/>
    <w:rsid w:val="006B7FA7"/>
    <w:rsid w:val="006C086A"/>
    <w:rsid w:val="006C21C1"/>
    <w:rsid w:val="006C6C42"/>
    <w:rsid w:val="006C7327"/>
    <w:rsid w:val="006D00E5"/>
    <w:rsid w:val="006D03D2"/>
    <w:rsid w:val="006D791B"/>
    <w:rsid w:val="006E2895"/>
    <w:rsid w:val="006F180D"/>
    <w:rsid w:val="006F4334"/>
    <w:rsid w:val="006F47AF"/>
    <w:rsid w:val="006F6B8A"/>
    <w:rsid w:val="00707CD3"/>
    <w:rsid w:val="007124A5"/>
    <w:rsid w:val="00716BB9"/>
    <w:rsid w:val="00725485"/>
    <w:rsid w:val="007256D1"/>
    <w:rsid w:val="007279FD"/>
    <w:rsid w:val="00733AD7"/>
    <w:rsid w:val="007502CB"/>
    <w:rsid w:val="00752D79"/>
    <w:rsid w:val="00752E20"/>
    <w:rsid w:val="00756EDE"/>
    <w:rsid w:val="00764456"/>
    <w:rsid w:val="00781B4D"/>
    <w:rsid w:val="007824BF"/>
    <w:rsid w:val="00783B8D"/>
    <w:rsid w:val="00794B94"/>
    <w:rsid w:val="00794BD4"/>
    <w:rsid w:val="007A2708"/>
    <w:rsid w:val="007A2F73"/>
    <w:rsid w:val="007A3061"/>
    <w:rsid w:val="007A5A0B"/>
    <w:rsid w:val="007A6F93"/>
    <w:rsid w:val="007B0A86"/>
    <w:rsid w:val="007C0E14"/>
    <w:rsid w:val="007C7DE4"/>
    <w:rsid w:val="007D0420"/>
    <w:rsid w:val="007D40CB"/>
    <w:rsid w:val="007D5796"/>
    <w:rsid w:val="007D59C0"/>
    <w:rsid w:val="007D7D9C"/>
    <w:rsid w:val="007F485D"/>
    <w:rsid w:val="007F6050"/>
    <w:rsid w:val="00813627"/>
    <w:rsid w:val="00831CC9"/>
    <w:rsid w:val="00832816"/>
    <w:rsid w:val="00837109"/>
    <w:rsid w:val="00840365"/>
    <w:rsid w:val="008406A3"/>
    <w:rsid w:val="00841D2C"/>
    <w:rsid w:val="00845F3C"/>
    <w:rsid w:val="008461B8"/>
    <w:rsid w:val="008462F1"/>
    <w:rsid w:val="00847EF1"/>
    <w:rsid w:val="008538FA"/>
    <w:rsid w:val="00856D4F"/>
    <w:rsid w:val="008573B0"/>
    <w:rsid w:val="00866563"/>
    <w:rsid w:val="00867AC2"/>
    <w:rsid w:val="00867F18"/>
    <w:rsid w:val="0087056E"/>
    <w:rsid w:val="00875402"/>
    <w:rsid w:val="00884D51"/>
    <w:rsid w:val="0088549E"/>
    <w:rsid w:val="008916EC"/>
    <w:rsid w:val="00891E4F"/>
    <w:rsid w:val="008A31C5"/>
    <w:rsid w:val="008A4F9A"/>
    <w:rsid w:val="008B2850"/>
    <w:rsid w:val="008C6BF4"/>
    <w:rsid w:val="008C79B3"/>
    <w:rsid w:val="008D77BD"/>
    <w:rsid w:val="008E454C"/>
    <w:rsid w:val="008F1E5A"/>
    <w:rsid w:val="00901BDA"/>
    <w:rsid w:val="009121D8"/>
    <w:rsid w:val="00912D9C"/>
    <w:rsid w:val="00916F7A"/>
    <w:rsid w:val="00917FE3"/>
    <w:rsid w:val="00926F4D"/>
    <w:rsid w:val="009318C7"/>
    <w:rsid w:val="00931C09"/>
    <w:rsid w:val="009348C2"/>
    <w:rsid w:val="00934F22"/>
    <w:rsid w:val="009440D0"/>
    <w:rsid w:val="009523A3"/>
    <w:rsid w:val="00960958"/>
    <w:rsid w:val="00963A46"/>
    <w:rsid w:val="00966A3E"/>
    <w:rsid w:val="00971493"/>
    <w:rsid w:val="00971AD9"/>
    <w:rsid w:val="00973069"/>
    <w:rsid w:val="0097348B"/>
    <w:rsid w:val="00973523"/>
    <w:rsid w:val="00980766"/>
    <w:rsid w:val="00982D17"/>
    <w:rsid w:val="009835D4"/>
    <w:rsid w:val="009865D4"/>
    <w:rsid w:val="00991186"/>
    <w:rsid w:val="00992186"/>
    <w:rsid w:val="0099713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F31"/>
    <w:rsid w:val="00A222C2"/>
    <w:rsid w:val="00A305D6"/>
    <w:rsid w:val="00A342C4"/>
    <w:rsid w:val="00A40962"/>
    <w:rsid w:val="00A50F6B"/>
    <w:rsid w:val="00A52237"/>
    <w:rsid w:val="00A551D6"/>
    <w:rsid w:val="00A6251B"/>
    <w:rsid w:val="00A6754E"/>
    <w:rsid w:val="00A70F58"/>
    <w:rsid w:val="00A72987"/>
    <w:rsid w:val="00A7346B"/>
    <w:rsid w:val="00A73E60"/>
    <w:rsid w:val="00A84C4F"/>
    <w:rsid w:val="00A932A1"/>
    <w:rsid w:val="00A936D1"/>
    <w:rsid w:val="00A96E06"/>
    <w:rsid w:val="00AA6197"/>
    <w:rsid w:val="00AA6513"/>
    <w:rsid w:val="00AA6C70"/>
    <w:rsid w:val="00AB16FD"/>
    <w:rsid w:val="00AB4813"/>
    <w:rsid w:val="00AC4BBE"/>
    <w:rsid w:val="00AC6466"/>
    <w:rsid w:val="00AC7639"/>
    <w:rsid w:val="00AC7819"/>
    <w:rsid w:val="00AD08BB"/>
    <w:rsid w:val="00AD0EC0"/>
    <w:rsid w:val="00AD329F"/>
    <w:rsid w:val="00AD4564"/>
    <w:rsid w:val="00AD70D6"/>
    <w:rsid w:val="00AD75BC"/>
    <w:rsid w:val="00AD7BB0"/>
    <w:rsid w:val="00AD7BC9"/>
    <w:rsid w:val="00AE17E6"/>
    <w:rsid w:val="00AE1871"/>
    <w:rsid w:val="00AE7815"/>
    <w:rsid w:val="00AF0DB9"/>
    <w:rsid w:val="00AF1A8C"/>
    <w:rsid w:val="00AF6C59"/>
    <w:rsid w:val="00B0116D"/>
    <w:rsid w:val="00B01173"/>
    <w:rsid w:val="00B02F35"/>
    <w:rsid w:val="00B0423B"/>
    <w:rsid w:val="00B05721"/>
    <w:rsid w:val="00B05A3C"/>
    <w:rsid w:val="00B07100"/>
    <w:rsid w:val="00B107E9"/>
    <w:rsid w:val="00B1138C"/>
    <w:rsid w:val="00B1216A"/>
    <w:rsid w:val="00B168CE"/>
    <w:rsid w:val="00B2574A"/>
    <w:rsid w:val="00B35D8A"/>
    <w:rsid w:val="00B45B34"/>
    <w:rsid w:val="00B57047"/>
    <w:rsid w:val="00B61D86"/>
    <w:rsid w:val="00B6342D"/>
    <w:rsid w:val="00B64040"/>
    <w:rsid w:val="00B64699"/>
    <w:rsid w:val="00B666A2"/>
    <w:rsid w:val="00B726BD"/>
    <w:rsid w:val="00B732BC"/>
    <w:rsid w:val="00B732C1"/>
    <w:rsid w:val="00B76687"/>
    <w:rsid w:val="00B83AEB"/>
    <w:rsid w:val="00B90E33"/>
    <w:rsid w:val="00B91DDE"/>
    <w:rsid w:val="00B9676B"/>
    <w:rsid w:val="00BA2EA5"/>
    <w:rsid w:val="00BA364B"/>
    <w:rsid w:val="00BA75E9"/>
    <w:rsid w:val="00BB1190"/>
    <w:rsid w:val="00BB31D0"/>
    <w:rsid w:val="00BB3A11"/>
    <w:rsid w:val="00BB4DDB"/>
    <w:rsid w:val="00BB5D79"/>
    <w:rsid w:val="00BB5F02"/>
    <w:rsid w:val="00BC7892"/>
    <w:rsid w:val="00BD2163"/>
    <w:rsid w:val="00BE24D6"/>
    <w:rsid w:val="00BE7EFA"/>
    <w:rsid w:val="00BF06AD"/>
    <w:rsid w:val="00BF2C67"/>
    <w:rsid w:val="00BF2E9D"/>
    <w:rsid w:val="00C00253"/>
    <w:rsid w:val="00C04A83"/>
    <w:rsid w:val="00C04F4D"/>
    <w:rsid w:val="00C12E48"/>
    <w:rsid w:val="00C13D14"/>
    <w:rsid w:val="00C15372"/>
    <w:rsid w:val="00C15F53"/>
    <w:rsid w:val="00C16EC3"/>
    <w:rsid w:val="00C23F09"/>
    <w:rsid w:val="00C25356"/>
    <w:rsid w:val="00C328D0"/>
    <w:rsid w:val="00C46BC1"/>
    <w:rsid w:val="00C51717"/>
    <w:rsid w:val="00C5235F"/>
    <w:rsid w:val="00C54CE2"/>
    <w:rsid w:val="00C66BF3"/>
    <w:rsid w:val="00C70140"/>
    <w:rsid w:val="00C73CA7"/>
    <w:rsid w:val="00C77568"/>
    <w:rsid w:val="00C81891"/>
    <w:rsid w:val="00C822F6"/>
    <w:rsid w:val="00C82AC2"/>
    <w:rsid w:val="00C8456C"/>
    <w:rsid w:val="00C84645"/>
    <w:rsid w:val="00C91E19"/>
    <w:rsid w:val="00C92402"/>
    <w:rsid w:val="00C92867"/>
    <w:rsid w:val="00C93B93"/>
    <w:rsid w:val="00C95A95"/>
    <w:rsid w:val="00C97200"/>
    <w:rsid w:val="00CA037D"/>
    <w:rsid w:val="00CA0837"/>
    <w:rsid w:val="00CA2442"/>
    <w:rsid w:val="00CA2466"/>
    <w:rsid w:val="00CA4725"/>
    <w:rsid w:val="00CB6246"/>
    <w:rsid w:val="00CB6428"/>
    <w:rsid w:val="00CC0A17"/>
    <w:rsid w:val="00CC36ED"/>
    <w:rsid w:val="00CD0F93"/>
    <w:rsid w:val="00CD1BD1"/>
    <w:rsid w:val="00CD528D"/>
    <w:rsid w:val="00CE78BF"/>
    <w:rsid w:val="00CF65EB"/>
    <w:rsid w:val="00CF72AD"/>
    <w:rsid w:val="00D02441"/>
    <w:rsid w:val="00D039F4"/>
    <w:rsid w:val="00D044EB"/>
    <w:rsid w:val="00D10496"/>
    <w:rsid w:val="00D11173"/>
    <w:rsid w:val="00D1215F"/>
    <w:rsid w:val="00D16561"/>
    <w:rsid w:val="00D16E5B"/>
    <w:rsid w:val="00D17FF8"/>
    <w:rsid w:val="00D268AC"/>
    <w:rsid w:val="00D27FF3"/>
    <w:rsid w:val="00D343D0"/>
    <w:rsid w:val="00D34780"/>
    <w:rsid w:val="00D34B70"/>
    <w:rsid w:val="00D3664D"/>
    <w:rsid w:val="00D44992"/>
    <w:rsid w:val="00D500E9"/>
    <w:rsid w:val="00D507BC"/>
    <w:rsid w:val="00D6090A"/>
    <w:rsid w:val="00D62FA3"/>
    <w:rsid w:val="00D63B6F"/>
    <w:rsid w:val="00D64A90"/>
    <w:rsid w:val="00D9410B"/>
    <w:rsid w:val="00D959E1"/>
    <w:rsid w:val="00D9695B"/>
    <w:rsid w:val="00DA2417"/>
    <w:rsid w:val="00DA296E"/>
    <w:rsid w:val="00DA5585"/>
    <w:rsid w:val="00DB02AC"/>
    <w:rsid w:val="00DB6AA2"/>
    <w:rsid w:val="00DC7799"/>
    <w:rsid w:val="00DD37F5"/>
    <w:rsid w:val="00DE0418"/>
    <w:rsid w:val="00DE10D1"/>
    <w:rsid w:val="00DE2514"/>
    <w:rsid w:val="00DE5759"/>
    <w:rsid w:val="00DE6851"/>
    <w:rsid w:val="00DF03EE"/>
    <w:rsid w:val="00DF227E"/>
    <w:rsid w:val="00E01B71"/>
    <w:rsid w:val="00E05CC9"/>
    <w:rsid w:val="00E10E78"/>
    <w:rsid w:val="00E14B58"/>
    <w:rsid w:val="00E15573"/>
    <w:rsid w:val="00E20437"/>
    <w:rsid w:val="00E25A5B"/>
    <w:rsid w:val="00E36650"/>
    <w:rsid w:val="00E373C7"/>
    <w:rsid w:val="00E4267B"/>
    <w:rsid w:val="00E42F13"/>
    <w:rsid w:val="00E43975"/>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7E3"/>
    <w:rsid w:val="00ED110A"/>
    <w:rsid w:val="00ED3C5D"/>
    <w:rsid w:val="00ED4553"/>
    <w:rsid w:val="00F00D08"/>
    <w:rsid w:val="00F1350D"/>
    <w:rsid w:val="00F13C2C"/>
    <w:rsid w:val="00F15583"/>
    <w:rsid w:val="00F17C18"/>
    <w:rsid w:val="00F200EE"/>
    <w:rsid w:val="00F22481"/>
    <w:rsid w:val="00F2542E"/>
    <w:rsid w:val="00F25895"/>
    <w:rsid w:val="00F27278"/>
    <w:rsid w:val="00F344E3"/>
    <w:rsid w:val="00F34D58"/>
    <w:rsid w:val="00F40FC9"/>
    <w:rsid w:val="00F41A9D"/>
    <w:rsid w:val="00F44314"/>
    <w:rsid w:val="00F536F1"/>
    <w:rsid w:val="00F54B9C"/>
    <w:rsid w:val="00F55295"/>
    <w:rsid w:val="00F56CC5"/>
    <w:rsid w:val="00F56E96"/>
    <w:rsid w:val="00F573DD"/>
    <w:rsid w:val="00F61E59"/>
    <w:rsid w:val="00F63D99"/>
    <w:rsid w:val="00F6426B"/>
    <w:rsid w:val="00F709B3"/>
    <w:rsid w:val="00F71A5E"/>
    <w:rsid w:val="00F80AAC"/>
    <w:rsid w:val="00FA0AFC"/>
    <w:rsid w:val="00FA1C82"/>
    <w:rsid w:val="00FA2ED1"/>
    <w:rsid w:val="00FA4A52"/>
    <w:rsid w:val="00FB4045"/>
    <w:rsid w:val="00FB4136"/>
    <w:rsid w:val="00FB4D8E"/>
    <w:rsid w:val="00FC0D0A"/>
    <w:rsid w:val="00FC1B0B"/>
    <w:rsid w:val="00FD2F97"/>
    <w:rsid w:val="00FF38F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B99640"/>
  <w15:docId w15:val="{42ABCA77-EE16-4083-88AC-A56DB84AE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E5759"/>
    <w:rPr>
      <w:sz w:val="16"/>
      <w:szCs w:val="16"/>
    </w:rPr>
  </w:style>
  <w:style w:type="paragraph" w:styleId="CommentText">
    <w:name w:val="annotation text"/>
    <w:basedOn w:val="Normal"/>
    <w:link w:val="CommentTextChar"/>
    <w:semiHidden/>
    <w:unhideWhenUsed/>
    <w:rsid w:val="00DE5759"/>
    <w:pPr>
      <w:spacing w:line="240" w:lineRule="auto"/>
    </w:pPr>
    <w:rPr>
      <w:sz w:val="20"/>
      <w:szCs w:val="20"/>
    </w:rPr>
  </w:style>
  <w:style w:type="character" w:customStyle="1" w:styleId="CommentTextChar">
    <w:name w:val="Comment Text Char"/>
    <w:basedOn w:val="DefaultParagraphFont"/>
    <w:link w:val="CommentText"/>
    <w:semiHidden/>
    <w:rsid w:val="00DE5759"/>
    <w:rPr>
      <w:spacing w:val="4"/>
    </w:rPr>
  </w:style>
  <w:style w:type="paragraph" w:styleId="CommentSubject">
    <w:name w:val="annotation subject"/>
    <w:basedOn w:val="CommentText"/>
    <w:next w:val="CommentText"/>
    <w:link w:val="CommentSubjectChar"/>
    <w:semiHidden/>
    <w:unhideWhenUsed/>
    <w:rsid w:val="00DE5759"/>
    <w:rPr>
      <w:b/>
      <w:bCs/>
    </w:rPr>
  </w:style>
  <w:style w:type="character" w:customStyle="1" w:styleId="CommentSubjectChar">
    <w:name w:val="Comment Subject Char"/>
    <w:basedOn w:val="CommentTextChar"/>
    <w:link w:val="CommentSubject"/>
    <w:semiHidden/>
    <w:rsid w:val="00DE5759"/>
    <w:rPr>
      <w:b/>
      <w:bCs/>
      <w:spacing w:val="4"/>
    </w:rPr>
  </w:style>
  <w:style w:type="paragraph" w:styleId="NormalWeb">
    <w:name w:val="Normal (Web)"/>
    <w:basedOn w:val="Normal"/>
    <w:uiPriority w:val="99"/>
    <w:unhideWhenUsed/>
    <w:rsid w:val="00D16E5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styleId="BalloonText">
    <w:name w:val="Balloon Text"/>
    <w:basedOn w:val="Normal"/>
    <w:link w:val="BalloonTextChar"/>
    <w:semiHidden/>
    <w:unhideWhenUsed/>
    <w:rsid w:val="007124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24A5"/>
    <w:rPr>
      <w:rFonts w:ascii="Segoe UI" w:hAnsi="Segoe UI" w:cs="Segoe UI"/>
      <w:spacing w:val="4"/>
      <w:sz w:val="18"/>
      <w:szCs w:val="18"/>
    </w:rPr>
  </w:style>
  <w:style w:type="character" w:styleId="LineNumber">
    <w:name w:val="line number"/>
    <w:basedOn w:val="DefaultParagraphFont"/>
    <w:semiHidden/>
    <w:unhideWhenUsed/>
    <w:rsid w:val="00454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1EAD9-6072-4C36-9E9E-1F71A8A08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4481</Words>
  <Characters>23625</Characters>
  <Application>Microsoft Office Word</Application>
  <DocSecurity>0</DocSecurity>
  <Lines>480</Lines>
  <Paragraphs>71</Paragraphs>
  <ScaleCrop>false</ScaleCrop>
  <HeadingPairs>
    <vt:vector size="2" baseType="variant">
      <vt:variant>
        <vt:lpstr>Title</vt:lpstr>
      </vt:variant>
      <vt:variant>
        <vt:i4>1</vt:i4>
      </vt:variant>
    </vt:vector>
  </HeadingPairs>
  <TitlesOfParts>
    <vt:vector size="1" baseType="lpstr">
      <vt:lpstr>A5486</vt:lpstr>
    </vt:vector>
  </TitlesOfParts>
  <Manager>R225</Manager>
  <Company>NJ Office of Legislative Services</Company>
  <LinksUpToDate>false</LinksUpToDate>
  <CharactersWithSpaces>28153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A5486</dc:title>
  <dc:subject/>
  <dc:creator>Assemblyman  DANCER</dc:creator>
  <cp:keywords>A5486|11|AU |323|261|147|N|0|</cp:keywords>
  <dc:description>INTRODUCED MARCH 17, 2021</dc:description>
  <cp:lastModifiedBy>Todaro, Vivian</cp:lastModifiedBy>
  <cp:revision>2</cp:revision>
  <cp:lastPrinted>2021-05-07T18:57:00Z</cp:lastPrinted>
  <dcterms:created xsi:type="dcterms:W3CDTF">2021-05-11T14:33:00Z</dcterms:created>
  <dcterms:modified xsi:type="dcterms:W3CDTF">2021-05-11T14:33:00Z</dcterms:modified>
  <cp:category>s.3: Eff. date &amp; Note to ss.1-2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