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3639D30" w14:textId="46ED0AF5" w:rsidR="00276352" w:rsidRDefault="00276352" w:rsidP="00276352">
      <w:pPr>
        <w:pStyle w:val="bpuBill"/>
      </w:pPr>
      <w:bookmarkStart w:id="0" w:name="bpuFrontPg"/>
      <w:bookmarkEnd w:id="0"/>
      <w:r>
        <w:t xml:space="preserve">ASSEMBLY, No. 5645 </w:t>
      </w:r>
    </w:p>
    <w:p w14:paraId="0ECA3266" w14:textId="4BA17520" w:rsidR="00276352" w:rsidRPr="009D38FF" w:rsidRDefault="00276352" w:rsidP="00276352">
      <w:pPr>
        <w:pStyle w:val="bpuWpGraphic"/>
      </w:pPr>
      <w:r>
        <w:object w:dxaOrig="8985" w:dyaOrig="255" w14:anchorId="7DFC1AE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98563990" r:id="rId8"/>
        </w:object>
      </w:r>
    </w:p>
    <w:p w14:paraId="3E7CAAD3" w14:textId="77777777" w:rsidR="00276352" w:rsidRDefault="00276352" w:rsidP="00276352">
      <w:pPr>
        <w:pStyle w:val="bpuState"/>
      </w:pPr>
      <w:r>
        <w:t>STATE OF NEW JERSEY</w:t>
      </w:r>
    </w:p>
    <w:p w14:paraId="5A919BAF" w14:textId="77777777" w:rsidR="00276352" w:rsidRDefault="00276352" w:rsidP="00276352">
      <w:pPr>
        <w:pStyle w:val="bpuLegislature"/>
      </w:pPr>
      <w:r>
        <w:t>219th LEGISLATURE</w:t>
      </w:r>
    </w:p>
    <w:p w14:paraId="3553F49C" w14:textId="08B98D77" w:rsidR="00276352" w:rsidRDefault="00276352" w:rsidP="00276352">
      <w:pPr>
        <w:pStyle w:val="bpuWpGraphic"/>
      </w:pPr>
      <w:r>
        <w:object w:dxaOrig="8985" w:dyaOrig="255" w14:anchorId="1F0E755F">
          <v:shape id="_x0000_i1026" type="#_x0000_t75" style="width:6in;height:12pt" o:ole="">
            <v:imagedata r:id="rId7" o:title=""/>
          </v:shape>
          <o:OLEObject Type="Embed" ProgID="WPWin6.1" ShapeID="_x0000_i1026" DrawAspect="Content" ObjectID="_1698563991" r:id="rId9"/>
        </w:object>
      </w:r>
      <w:r>
        <w:t xml:space="preserve">  </w:t>
      </w:r>
    </w:p>
    <w:p w14:paraId="20C4ABAD" w14:textId="77777777" w:rsidR="00276352" w:rsidRDefault="00276352" w:rsidP="00276352">
      <w:pPr>
        <w:pStyle w:val="bpuIntro"/>
      </w:pPr>
      <w:r>
        <w:t>INTRODUCED MAY 12, 2021</w:t>
      </w:r>
    </w:p>
    <w:p w14:paraId="39C933F1" w14:textId="77777777" w:rsidR="00276352" w:rsidRDefault="00276352" w:rsidP="00276352">
      <w:pPr>
        <w:pStyle w:val="bpuIntro"/>
      </w:pPr>
    </w:p>
    <w:p w14:paraId="33A33CDE" w14:textId="77777777" w:rsidR="00276352" w:rsidRDefault="00276352" w:rsidP="00276352">
      <w:pPr>
        <w:pStyle w:val="bpuIntro"/>
        <w:sectPr w:rsidR="00276352" w:rsidSect="006E240A">
          <w:headerReference w:type="even" r:id="rId10"/>
          <w:headerReference w:type="default" r:id="rId11"/>
          <w:footerReference w:type="default" r:id="rId12"/>
          <w:pgSz w:w="12240" w:h="20160" w:code="5"/>
          <w:pgMar w:top="2160" w:right="1440" w:bottom="1440" w:left="1440" w:header="72" w:footer="2160" w:gutter="0"/>
          <w:pgNumType w:start="1"/>
          <w:cols w:space="720"/>
          <w:docGrid w:linePitch="360"/>
        </w:sectPr>
      </w:pPr>
    </w:p>
    <w:p w14:paraId="256E9339" w14:textId="77777777" w:rsidR="00276352" w:rsidRDefault="00276352" w:rsidP="00276352">
      <w:pPr>
        <w:pStyle w:val="bpuIntro"/>
      </w:pPr>
    </w:p>
    <w:p w14:paraId="47731DF1" w14:textId="77777777" w:rsidR="00276352" w:rsidRDefault="00276352" w:rsidP="00276352">
      <w:pPr>
        <w:pStyle w:val="bpuSponsor"/>
      </w:pPr>
      <w:r>
        <w:t>Sponsored by:</w:t>
      </w:r>
    </w:p>
    <w:p w14:paraId="41F45F1F" w14:textId="77777777" w:rsidR="00276352" w:rsidRDefault="00276352" w:rsidP="00276352">
      <w:pPr>
        <w:pStyle w:val="bpuSponsor"/>
      </w:pPr>
      <w:r>
        <w:t>Assemblyman  HERB CONAWAY, JR.</w:t>
      </w:r>
    </w:p>
    <w:p w14:paraId="7096FEE8" w14:textId="77777777" w:rsidR="00276352" w:rsidRDefault="00276352" w:rsidP="00276352">
      <w:pPr>
        <w:pStyle w:val="bpuSponsor"/>
      </w:pPr>
      <w:r>
        <w:t>District 7 (Burlington)</w:t>
      </w:r>
    </w:p>
    <w:p w14:paraId="73B67373" w14:textId="03BE0BB0" w:rsidR="00276352" w:rsidRDefault="006E240A" w:rsidP="006E240A">
      <w:pPr>
        <w:pStyle w:val="bpuSponsor"/>
      </w:pPr>
      <w:r>
        <w:t>Assemblyman  RAJ MUKHERJI</w:t>
      </w:r>
    </w:p>
    <w:p w14:paraId="2CD3115E" w14:textId="236279A2" w:rsidR="006E240A" w:rsidRDefault="006E240A" w:rsidP="006E240A">
      <w:pPr>
        <w:pStyle w:val="bpuSponsor"/>
      </w:pPr>
      <w:r>
        <w:t>District 33 (Hudson)</w:t>
      </w:r>
    </w:p>
    <w:p w14:paraId="13E104D6" w14:textId="0F4C7948" w:rsidR="006E240A" w:rsidRDefault="006E1AFA" w:rsidP="006E1AFA">
      <w:pPr>
        <w:pStyle w:val="bpuSponsor"/>
      </w:pPr>
      <w:r>
        <w:t>Assemblyman  STERLEY S. STANLEY</w:t>
      </w:r>
    </w:p>
    <w:p w14:paraId="03D5673F" w14:textId="251C48B1" w:rsidR="006E1AFA" w:rsidRDefault="006E1AFA" w:rsidP="006E1AFA">
      <w:pPr>
        <w:pStyle w:val="bpuSponsor"/>
      </w:pPr>
      <w:r>
        <w:t>District 18 (Middlesex)</w:t>
      </w:r>
    </w:p>
    <w:p w14:paraId="491D69F2" w14:textId="77777777" w:rsidR="006E1AFA" w:rsidRPr="006E1AFA" w:rsidRDefault="006E1AFA" w:rsidP="006E1AFA">
      <w:pPr>
        <w:pStyle w:val="bpuSponsor"/>
      </w:pPr>
      <w:bookmarkStart w:id="1" w:name="_GoBack"/>
      <w:bookmarkEnd w:id="1"/>
    </w:p>
    <w:p w14:paraId="4B8D2F23" w14:textId="77777777" w:rsidR="00276352" w:rsidRDefault="00276352" w:rsidP="00276352">
      <w:pPr>
        <w:pStyle w:val="bpuSponsor"/>
      </w:pPr>
    </w:p>
    <w:p w14:paraId="40B1C2A9" w14:textId="77777777" w:rsidR="00276352" w:rsidRDefault="00276352" w:rsidP="00276352">
      <w:pPr>
        <w:pStyle w:val="bpuSponsor"/>
      </w:pPr>
    </w:p>
    <w:p w14:paraId="68B56E3D" w14:textId="77777777" w:rsidR="00276352" w:rsidRDefault="00276352" w:rsidP="00276352">
      <w:pPr>
        <w:pStyle w:val="bpuSponsor"/>
      </w:pPr>
    </w:p>
    <w:p w14:paraId="4E0104F0" w14:textId="77777777" w:rsidR="00276352" w:rsidRDefault="00276352" w:rsidP="00276352">
      <w:pPr>
        <w:pStyle w:val="bpuSponsor"/>
      </w:pPr>
      <w:r>
        <w:t>SYNOPSIS</w:t>
      </w:r>
    </w:p>
    <w:p w14:paraId="35DAABDA" w14:textId="77777777" w:rsidR="00276352" w:rsidRDefault="00276352" w:rsidP="00276352">
      <w:pPr>
        <w:pStyle w:val="bpuNormText"/>
      </w:pPr>
      <w:r>
        <w:tab/>
        <w:t xml:space="preserve">Requires certain health care practitioner referrals to be made in accordance with certain professional standards.  </w:t>
      </w:r>
    </w:p>
    <w:p w14:paraId="607CF9F2" w14:textId="77777777" w:rsidR="00276352" w:rsidRDefault="00276352" w:rsidP="00276352">
      <w:pPr>
        <w:pStyle w:val="bpuNormText"/>
      </w:pPr>
    </w:p>
    <w:p w14:paraId="3A26F575" w14:textId="77777777" w:rsidR="00276352" w:rsidRDefault="00276352" w:rsidP="00276352">
      <w:pPr>
        <w:pStyle w:val="bpuSponsor"/>
      </w:pPr>
      <w:r>
        <w:t xml:space="preserve">CURRENT VERSION OF TEXT </w:t>
      </w:r>
    </w:p>
    <w:p w14:paraId="3298E225" w14:textId="77777777" w:rsidR="00276352" w:rsidRDefault="00276352" w:rsidP="00276352">
      <w:pPr>
        <w:pStyle w:val="bpuNormText"/>
      </w:pPr>
      <w:r>
        <w:tab/>
        <w:t>As introduced.</w:t>
      </w:r>
    </w:p>
    <w:p w14:paraId="6D1A8CB2" w14:textId="2E286761" w:rsidR="00276352" w:rsidRDefault="00276352" w:rsidP="00276352">
      <w:pPr>
        <w:pStyle w:val="bpuNormText"/>
      </w:pPr>
      <w:r>
        <w:rPr>
          <w:noProof/>
        </w:rPr>
        <w:drawing>
          <wp:anchor distT="0" distB="0" distL="114300" distR="114300" simplePos="0" relativeHeight="251659264" behindDoc="1" locked="0" layoutInCell="1" allowOverlap="1" wp14:anchorId="5F12C815" wp14:editId="0CA80754">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14:paraId="06213AF9" w14:textId="77777777" w:rsidR="00276352" w:rsidRDefault="00276352" w:rsidP="008916EC">
      <w:pPr>
        <w:pStyle w:val="FronterPage"/>
        <w:tabs>
          <w:tab w:val="clear" w:pos="720"/>
          <w:tab w:val="clear" w:pos="1440"/>
          <w:tab w:val="clear" w:pos="2160"/>
          <w:tab w:val="clear" w:pos="2880"/>
          <w:tab w:val="clear" w:pos="3600"/>
          <w:tab w:val="clear" w:pos="4320"/>
          <w:tab w:val="clear" w:pos="5040"/>
        </w:tabs>
        <w:sectPr w:rsidR="00276352" w:rsidSect="00276352">
          <w:type w:val="continuous"/>
          <w:pgSz w:w="12240" w:h="20160" w:code="5"/>
          <w:pgMar w:top="1440" w:right="2275" w:bottom="1440" w:left="2275" w:header="72" w:footer="720" w:gutter="0"/>
          <w:pgNumType w:start="1"/>
          <w:cols w:space="720"/>
          <w:docGrid w:linePitch="360"/>
        </w:sectPr>
      </w:pPr>
    </w:p>
    <w:p w14:paraId="2421EE75" w14:textId="77777777" w:rsidR="000D0B63" w:rsidRPr="00677316" w:rsidRDefault="000D0B63" w:rsidP="000D0B63">
      <w:pPr>
        <w:pStyle w:val="HangingAnAct"/>
        <w:rPr>
          <w:rStyle w:val="HangingAnActChar"/>
        </w:rPr>
      </w:pPr>
      <w:r>
        <w:rPr>
          <w:rStyle w:val="BillHead"/>
        </w:rPr>
        <w:lastRenderedPageBreak/>
        <w:t>An Act</w:t>
      </w:r>
      <w:r w:rsidRPr="006B7FA7">
        <w:rPr>
          <w:rStyle w:val="HangingAnActChar"/>
        </w:rPr>
        <w:t xml:space="preserve"> </w:t>
      </w:r>
      <w:r>
        <w:rPr>
          <w:rStyle w:val="HangingAnActChar"/>
        </w:rPr>
        <w:t xml:space="preserve">concerning health care practitioner referrals and amending </w:t>
      </w:r>
      <w:r>
        <w:t>P.L.1989, c.19.</w:t>
      </w:r>
    </w:p>
    <w:p w14:paraId="44C5BA4C" w14:textId="77777777" w:rsidR="000D0B63" w:rsidRPr="00D71D68" w:rsidRDefault="000D0B63" w:rsidP="000D0B63"/>
    <w:p w14:paraId="7088CD7F" w14:textId="77777777" w:rsidR="000D0B63" w:rsidRPr="00AA7880" w:rsidRDefault="000D0B63" w:rsidP="000D0B63">
      <w:r>
        <w:tab/>
      </w:r>
      <w:r>
        <w:rPr>
          <w:rStyle w:val="BillHeading2"/>
        </w:rPr>
        <w:t xml:space="preserve">Be It Enacted </w:t>
      </w:r>
      <w:r>
        <w:rPr>
          <w:rStyle w:val="BillLanguage"/>
        </w:rPr>
        <w:t>by the Senate and General Assembly of the State of New Jersey:</w:t>
      </w:r>
    </w:p>
    <w:p w14:paraId="4B4083D0" w14:textId="77777777" w:rsidR="000D0B63" w:rsidRDefault="000D0B63" w:rsidP="000D0B63"/>
    <w:p w14:paraId="050D9403" w14:textId="6AA88466" w:rsidR="000D0B63" w:rsidRDefault="000D0B63" w:rsidP="000D0B63">
      <w:r>
        <w:tab/>
        <w:t>1.</w:t>
      </w:r>
      <w:r w:rsidR="008E772A">
        <w:t xml:space="preserve"> </w:t>
      </w:r>
      <w:r>
        <w:t xml:space="preserve"> Section 2 of P.L.1989, c.19 (C.45:9-22.5) is amended to read as follows: </w:t>
      </w:r>
    </w:p>
    <w:p w14:paraId="74F3FB92" w14:textId="44315A57" w:rsidR="000D0B63" w:rsidRDefault="000D0B63" w:rsidP="000D0B63">
      <w:r>
        <w:tab/>
        <w:t>2.</w:t>
      </w:r>
      <w:r w:rsidR="00451E90">
        <w:tab/>
      </w:r>
      <w:r>
        <w:t xml:space="preserve">a. </w:t>
      </w:r>
      <w:r w:rsidR="00451E90">
        <w:t xml:space="preserve"> </w:t>
      </w:r>
      <w:r>
        <w:t xml:space="preserve">A practitioner shall not refer a patient or direct an employee of the practitioner to refer a patient to a health care service in which the practitioner, or the practitioner's immediate family, or the practitioner in combination with the practitioner's immediate family has a significant beneficial interest; except that, in the case of a practitioner, a practitioner's immediate family, or a practitioner in combination with the practitioner's immediate family who had the significant beneficial interest prior to the effective date of P.L.1991, c.187 (C.26:2H-18.24 et al.), and in the case of a significant beneficial interest in a health care service that provides lithotripsy or radiation therapy pursuant to an oncological protocol that was held prior to the effective date of this section of P.L.2009, c.24, the practitioner may continue to refer a patient or direct an employee to do so if that practitioner discloses the significant beneficial interest to the patient. </w:t>
      </w:r>
    </w:p>
    <w:p w14:paraId="4F0710FD" w14:textId="77777777" w:rsidR="000D0B63" w:rsidRDefault="000D0B63" w:rsidP="000D0B63">
      <w:r>
        <w:tab/>
        <w:t>b.</w:t>
      </w:r>
      <w:r>
        <w:tab/>
        <w:t>If a practitioner is permitted to refer a patient to a health care service pursuant to this section, the practitioner shall provide the patient with a written disclosure form, prepared pursuant to section 3 of P.L.1989, c.19 (C.45:9-22.6), and post a copy of this disclosure form in a conspicuous public place in the practitioner's office.</w:t>
      </w:r>
    </w:p>
    <w:p w14:paraId="5D23AAFA" w14:textId="77777777" w:rsidR="000D0B63" w:rsidRDefault="000D0B63" w:rsidP="000D0B63">
      <w:r>
        <w:tab/>
        <w:t>c.</w:t>
      </w:r>
      <w:r>
        <w:tab/>
        <w:t>The restrictions on referral of patients established in this section shall not apply to:</w:t>
      </w:r>
    </w:p>
    <w:p w14:paraId="3C631655" w14:textId="77777777" w:rsidR="000D0B63" w:rsidRDefault="000D0B63" w:rsidP="000D0B63">
      <w:r>
        <w:tab/>
        <w:t>(1)</w:t>
      </w:r>
      <w:r>
        <w:tab/>
        <w:t>medical treatment or a procedure that is provided at the practitioner's medical office and for which a bill is issued directly in the name of the practitioner or the practitioner's medical office;</w:t>
      </w:r>
    </w:p>
    <w:p w14:paraId="405C88BB" w14:textId="77777777" w:rsidR="000D0B63" w:rsidRDefault="000D0B63" w:rsidP="000D0B63">
      <w:r>
        <w:tab/>
        <w:t>(2)</w:t>
      </w:r>
      <w:r>
        <w:tab/>
        <w:t xml:space="preserve">renal dialysis; </w:t>
      </w:r>
    </w:p>
    <w:p w14:paraId="38F63D35" w14:textId="77777777" w:rsidR="000D0B63" w:rsidRDefault="000D0B63" w:rsidP="000D0B63">
      <w:r>
        <w:tab/>
        <w:t>(3)</w:t>
      </w:r>
      <w:r>
        <w:tab/>
        <w:t>ambulatory surgery or procedures involving the use of any anesthesia performed at a surgical practice licensed by the Department of Health pursuant to subsection g. of section 12 of P.L.1971, c.136 (C.26:2H-12) or at an ambulatory care facility licensed by the Department of Health to perform surgical and related services or lithotripsy services, if the following conditions are met:</w:t>
      </w:r>
    </w:p>
    <w:p w14:paraId="5996FAD6" w14:textId="77777777" w:rsidR="000D0B63" w:rsidRDefault="000D0B63" w:rsidP="000D0B63">
      <w:r>
        <w:tab/>
        <w:t>(a)</w:t>
      </w:r>
      <w:r>
        <w:tab/>
        <w:t>the practitioner who provided the referral personally performs the procedure;</w:t>
      </w:r>
    </w:p>
    <w:p w14:paraId="1021C2C1" w14:textId="77777777" w:rsidR="000D0B63" w:rsidRDefault="000D0B63" w:rsidP="000D0B63">
      <w:r>
        <w:tab/>
        <w:t>(b)</w:t>
      </w:r>
      <w:r>
        <w:tab/>
        <w:t xml:space="preserve">the practitioner's remuneration as an owner of or investor in the practice or facility is directly proportional to the practitioner's ownership interest and not to the volume of patients the practitioner refers to the practice or facility; </w:t>
      </w:r>
    </w:p>
    <w:p w14:paraId="7A3925E0" w14:textId="77777777" w:rsidR="000D0B63" w:rsidRDefault="000D0B63" w:rsidP="000D0B63">
      <w:r>
        <w:tab/>
        <w:t>(c)</w:t>
      </w:r>
      <w:r>
        <w:tab/>
        <w:t>all clinically-related decisions at a facility owned in part by non-practitioners are made by practitioners and are in the best interests of the patient; and</w:t>
      </w:r>
    </w:p>
    <w:p w14:paraId="7D6EF251" w14:textId="77777777" w:rsidR="000D0B63" w:rsidRDefault="000D0B63" w:rsidP="000D0B63">
      <w:r>
        <w:tab/>
        <w:t>(d)</w:t>
      </w:r>
      <w:r>
        <w:tab/>
        <w:t>disclosure of the referring practitioner's significant beneficial interest in the practice or facility is made to the patient in writing, at or prior to the time that the referral is made, consistent with the provisions of section 3 of P.L.1989, c.19 (C.45:9-22.6); and</w:t>
      </w:r>
    </w:p>
    <w:p w14:paraId="2452F5A7" w14:textId="77777777" w:rsidR="000D0B63" w:rsidRDefault="000D0B63" w:rsidP="000D0B63">
      <w:r>
        <w:tab/>
        <w:t>(4)</w:t>
      </w:r>
      <w:r>
        <w:tab/>
        <w:t>medically-necessary intraoperative monitoring services rendered during a neurosurgical, neurological, or neuro-radiological surgical procedure that is performed in a hospital; and</w:t>
      </w:r>
    </w:p>
    <w:p w14:paraId="1DA6D49F" w14:textId="25B1396B" w:rsidR="000D0B63" w:rsidRPr="000D0B63" w:rsidRDefault="000D0B63" w:rsidP="000D0B63">
      <w:r>
        <w:tab/>
        <w:t>(5)</w:t>
      </w:r>
      <w:r>
        <w:tab/>
        <w:t>Referrals that a practitioner makes, or directs an employee of the practitioner to make, to a health care service in which the referring practitioner has a significant beneficial interest, when participants in an alternative payment model registered with the Department of Health pursuant to section 3 of P.L.2017, c.111 (C.45:9-22.5c) make a bona fide determination that</w:t>
      </w:r>
      <w:r>
        <w:rPr>
          <w:u w:val="single"/>
        </w:rPr>
        <w:t>:</w:t>
      </w:r>
      <w:r>
        <w:t xml:space="preserve"> </w:t>
      </w:r>
      <w:r w:rsidR="00451E90">
        <w:t xml:space="preserve"> </w:t>
      </w:r>
      <w:r>
        <w:t>the significant beneficial interest is reasonably related to the alternative payment model standards filed with the Department of Health, provided that the determination is documented and retained for a period of 10 years</w:t>
      </w:r>
      <w:r>
        <w:rPr>
          <w:u w:val="single"/>
        </w:rPr>
        <w:t xml:space="preserve">; and the referral </w:t>
      </w:r>
      <w:r w:rsidR="001D69C6">
        <w:rPr>
          <w:u w:val="single"/>
        </w:rPr>
        <w:t xml:space="preserve">is made in accordance with </w:t>
      </w:r>
      <w:r w:rsidR="00AB69D9" w:rsidRPr="00AB69D9">
        <w:rPr>
          <w:u w:val="single"/>
        </w:rPr>
        <w:t>alternative payment model standards</w:t>
      </w:r>
      <w:r w:rsidR="00AB69D9">
        <w:rPr>
          <w:u w:val="single"/>
        </w:rPr>
        <w:t xml:space="preserve"> and</w:t>
      </w:r>
      <w:r>
        <w:rPr>
          <w:u w:val="single"/>
        </w:rPr>
        <w:t xml:space="preserve"> professional standards applicable</w:t>
      </w:r>
      <w:r w:rsidR="001D69C6">
        <w:rPr>
          <w:u w:val="single"/>
        </w:rPr>
        <w:t xml:space="preserve"> to</w:t>
      </w:r>
      <w:r w:rsidRPr="000D0B63">
        <w:rPr>
          <w:u w:val="single"/>
        </w:rPr>
        <w:t xml:space="preserve"> the health care service in which the</w:t>
      </w:r>
      <w:r w:rsidR="001D69C6">
        <w:rPr>
          <w:u w:val="single"/>
        </w:rPr>
        <w:t xml:space="preserve"> referring practitioner has a</w:t>
      </w:r>
      <w:r w:rsidRPr="000D0B63">
        <w:rPr>
          <w:u w:val="single"/>
        </w:rPr>
        <w:t xml:space="preserve"> s</w:t>
      </w:r>
      <w:r w:rsidR="001D69C6">
        <w:rPr>
          <w:u w:val="single"/>
        </w:rPr>
        <w:t>ignificant beneficial interest</w:t>
      </w:r>
      <w:r w:rsidR="001D69C6" w:rsidRPr="0011146E">
        <w:t>.</w:t>
      </w:r>
    </w:p>
    <w:p w14:paraId="2437A025" w14:textId="77777777" w:rsidR="000D0B63" w:rsidRDefault="000D0B63" w:rsidP="000D0B63">
      <w:r>
        <w:t>(</w:t>
      </w:r>
      <w:proofErr w:type="spellStart"/>
      <w:r>
        <w:t>cf</w:t>
      </w:r>
      <w:proofErr w:type="spellEnd"/>
      <w:r>
        <w:t>: P.L.2017, c.283, s.2)</w:t>
      </w:r>
    </w:p>
    <w:p w14:paraId="050770C1" w14:textId="77777777" w:rsidR="000D0B63" w:rsidRPr="00D71D68" w:rsidRDefault="000D0B63" w:rsidP="000D0B63"/>
    <w:p w14:paraId="097D5044" w14:textId="22C59C0D" w:rsidR="000D0B63" w:rsidRPr="00AA7880" w:rsidRDefault="008E772A" w:rsidP="000D0B63">
      <w:r>
        <w:tab/>
        <w:t>2.</w:t>
      </w:r>
      <w:r>
        <w:tab/>
      </w:r>
      <w:r w:rsidR="000D0B63">
        <w:t>This act shall take effect immediately.</w:t>
      </w:r>
    </w:p>
    <w:p w14:paraId="277D045D" w14:textId="77777777" w:rsidR="000D0B63" w:rsidRDefault="000D0B63" w:rsidP="000D0B63"/>
    <w:p w14:paraId="021D3E74" w14:textId="77777777" w:rsidR="000D0B63" w:rsidRPr="00CE7BD8" w:rsidRDefault="000D0B63" w:rsidP="000D0B63"/>
    <w:p w14:paraId="36F19360" w14:textId="77777777" w:rsidR="000D0B63" w:rsidRPr="00AA7880" w:rsidRDefault="000D0B63" w:rsidP="000D0B63">
      <w:pPr>
        <w:jc w:val="center"/>
      </w:pPr>
      <w:r w:rsidRPr="00D71D68">
        <w:t>STATEMENT</w:t>
      </w:r>
    </w:p>
    <w:p w14:paraId="6CAF9C4C" w14:textId="77777777" w:rsidR="000D0B63" w:rsidRDefault="000D0B63" w:rsidP="000D0B63"/>
    <w:p w14:paraId="280BF8F6" w14:textId="77777777" w:rsidR="000D0B63" w:rsidRDefault="000D0B63" w:rsidP="000D0B63">
      <w:r>
        <w:tab/>
        <w:t xml:space="preserve">This bill requires that certain health care practitioner referrals be made in accordance with certain professional standards.  </w:t>
      </w:r>
    </w:p>
    <w:p w14:paraId="6E5AB7D3" w14:textId="6AD66EAE" w:rsidR="000D0B63" w:rsidRDefault="000D0B63" w:rsidP="000D0B63">
      <w:r>
        <w:tab/>
        <w:t>Under current law, a health care practitioner generally is not to refer a patient or direct an employee of the practitioner to refer a patient to a health care service in which the practitioner, the practitioner's immediate family, or the practitioner in combination with the practitioner's immediate family</w:t>
      </w:r>
      <w:r w:rsidR="00391BED">
        <w:t>,</w:t>
      </w:r>
      <w:r>
        <w:t xml:space="preserve"> has a significant beneficial interest.  </w:t>
      </w:r>
    </w:p>
    <w:p w14:paraId="5059F359" w14:textId="1F500D44" w:rsidR="008E772A" w:rsidRDefault="000D0B63" w:rsidP="008E772A">
      <w:r>
        <w:tab/>
        <w:t xml:space="preserve">However, there are exceptions to this general rule.  One exception pertains to referrals a health care practitioner makes to a health care service in which the referring practitioner has a significant beneficial interest, when participants in an alternative payment model registered with the Department of Health make a </w:t>
      </w:r>
      <w:r w:rsidR="008E772A">
        <w:br w:type="page"/>
      </w:r>
    </w:p>
    <w:p w14:paraId="294B1E47" w14:textId="0C5FC01E" w:rsidR="00801D7B" w:rsidRDefault="000D0B63" w:rsidP="000D0B63">
      <w:r>
        <w:t xml:space="preserve">bona fide determination that the significant beneficial interest is reasonably related to the alternative payment model standards filed with the Department of Health, provided that the determination is documented and retained for a period of 10 years.  </w:t>
      </w:r>
    </w:p>
    <w:p w14:paraId="79C21F12" w14:textId="2EF14572" w:rsidR="000C5038" w:rsidRDefault="00801D7B">
      <w:r>
        <w:tab/>
      </w:r>
      <w:r w:rsidR="000D0B63">
        <w:t>This bill narrows the above exception by also requiring that the referral be</w:t>
      </w:r>
      <w:r w:rsidR="000D0B63" w:rsidRPr="00173923">
        <w:t xml:space="preserve"> made in accordance with</w:t>
      </w:r>
      <w:r w:rsidR="00AB69D9">
        <w:t xml:space="preserve"> </w:t>
      </w:r>
      <w:r w:rsidR="00AB69D9" w:rsidRPr="00AB69D9">
        <w:t>alternative payment model standards and</w:t>
      </w:r>
      <w:r w:rsidR="000D0B63" w:rsidRPr="00173923">
        <w:t xml:space="preserve"> </w:t>
      </w:r>
      <w:r w:rsidR="001D69C6" w:rsidRPr="001D69C6">
        <w:t>the professional standards applicable to the health care service in which the referring practitioner has a significant beneficial interest.</w:t>
      </w:r>
    </w:p>
    <w:sectPr w:rsidR="000C5038" w:rsidSect="00276352">
      <w:headerReference w:type="default" r:id="rId14"/>
      <w:footerReference w:type="default" r:id="rId15"/>
      <w:headerReference w:type="first" r:id="rId16"/>
      <w:footerReference w:type="first" r:id="rId17"/>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BD11CD3" w14:textId="77777777" w:rsidR="00D36408" w:rsidRDefault="00D36408">
      <w:r>
        <w:separator/>
      </w:r>
    </w:p>
  </w:endnote>
  <w:endnote w:type="continuationSeparator" w:id="0">
    <w:p w14:paraId="726DB65F" w14:textId="77777777" w:rsidR="00D36408" w:rsidRDefault="00D3640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E99508B" w14:textId="4DADAB25" w:rsidR="006E240A" w:rsidRDefault="006E240A" w:rsidP="006E240A">
    <w:pPr>
      <w:pStyle w:val="sponUdate"/>
    </w:pPr>
    <w:r>
      <w:t>(Sponsorship Updated As Of: 11/15/2021)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1EBE295" w14:textId="77777777"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FEC8A60" w14:textId="77777777" w:rsidR="00F759D3" w:rsidRPr="00921C91" w:rsidRDefault="00F759D3">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14:paraId="40855F04" w14:textId="77777777" w:rsidR="00F759D3" w:rsidRPr="00921C91" w:rsidRDefault="00F759D3">
    <w:pPr>
      <w:pStyle w:val="Footer"/>
      <w:rPr>
        <w:szCs w:val="18"/>
      </w:rPr>
    </w:pPr>
  </w:p>
  <w:p w14:paraId="579AE3A2" w14:textId="77777777" w:rsidR="00F759D3" w:rsidRPr="00921C91" w:rsidRDefault="00F759D3">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14:paraId="6C1BAD1E" w14:textId="77777777" w:rsidR="00F759D3" w:rsidRDefault="00F759D3">
    <w:pPr>
      <w:pStyle w:val="Footer"/>
    </w:pPr>
  </w:p>
  <w:p w14:paraId="7CCD4DFB" w14:textId="77777777"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59C21E5" w14:textId="77777777" w:rsidR="00D36408" w:rsidRDefault="00D36408">
      <w:r>
        <w:separator/>
      </w:r>
    </w:p>
  </w:footnote>
  <w:footnote w:type="continuationSeparator" w:id="0">
    <w:p w14:paraId="045DA56A" w14:textId="77777777" w:rsidR="00D36408" w:rsidRDefault="00D3640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52BECCD" w14:textId="77777777" w:rsidR="00665CBC" w:rsidRDefault="00844F5C">
    <w:pPr>
      <w:pStyle w:val="Header"/>
    </w:pPr>
    <w:r>
      <w:rPr>
        <w:noProof/>
      </w:rPr>
      <w:pict w14:anchorId="4B36D8A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23A25C5" w14:textId="38340F2D"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05D1DD2" w14:textId="2DFA7F67" w:rsidR="00665CBC" w:rsidRDefault="00665CBC" w:rsidP="00686AEB">
    <w:pPr>
      <w:pStyle w:val="Header"/>
      <w:jc w:val="center"/>
      <w:rPr>
        <w:rStyle w:val="PageNumber"/>
      </w:rPr>
    </w:pPr>
  </w:p>
  <w:p w14:paraId="7DF665A9" w14:textId="647E57D8" w:rsidR="00276352" w:rsidRDefault="00276352" w:rsidP="00276352">
    <w:pPr>
      <w:pStyle w:val="bpuHeadSpon"/>
    </w:pPr>
    <w:r w:rsidRPr="00276352">
      <w:rPr>
        <w:rStyle w:val="bpuHeadSponChar"/>
      </w:rPr>
      <w:t>A5645</w:t>
    </w:r>
    <w:r>
      <w:t xml:space="preserve"> CONAWAY</w:t>
    </w:r>
    <w:r w:rsidR="006E240A">
      <w:t xml:space="preserve">, </w:t>
    </w:r>
    <w:r w:rsidR="006E240A">
      <w:t>MUKHERJI</w:t>
    </w:r>
  </w:p>
  <w:p w14:paraId="4B5F00BB" w14:textId="24EFAA3B" w:rsidR="00276352" w:rsidRDefault="00276352" w:rsidP="00276352">
    <w:pPr>
      <w:pStyle w:val="bpuHeadSpon"/>
    </w:pPr>
    <w:r>
      <w:fldChar w:fldCharType="begin"/>
    </w:r>
    <w:r>
      <w:instrText xml:space="preserve"> PAGE  \* MERGEFORMAT </w:instrText>
    </w:r>
    <w:r>
      <w:fldChar w:fldCharType="separate"/>
    </w:r>
    <w:r w:rsidR="00844F5C">
      <w:rPr>
        <w:noProof/>
      </w:rPr>
      <w:t>4</w:t>
    </w:r>
    <w:r>
      <w:fldChar w:fldCharType="end"/>
    </w:r>
  </w:p>
  <w:p w14:paraId="151916C9" w14:textId="77777777" w:rsidR="00276352" w:rsidRDefault="00276352" w:rsidP="00276352">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7DDADF0" w14:textId="395EC910" w:rsidR="00665CBC" w:rsidRDefault="00665CBC">
    <w:pPr>
      <w:pStyle w:val="Header"/>
    </w:pPr>
  </w:p>
  <w:p w14:paraId="04544A0D" w14:textId="139F1764" w:rsidR="00276352" w:rsidRDefault="00276352" w:rsidP="00276352">
    <w:pPr>
      <w:pStyle w:val="bpuHeadSpon"/>
    </w:pPr>
    <w:r w:rsidRPr="00276352">
      <w:rPr>
        <w:rStyle w:val="bpuHeadSponChar"/>
      </w:rPr>
      <w:t>A5645</w:t>
    </w:r>
    <w:r>
      <w:t xml:space="preserve"> CONAWAY</w:t>
    </w:r>
    <w:r w:rsidR="006E240A">
      <w:t xml:space="preserve">, </w:t>
    </w:r>
    <w:r w:rsidR="006E240A">
      <w:t>MUKHERJI</w:t>
    </w:r>
  </w:p>
  <w:p w14:paraId="5F0CFAB4" w14:textId="40DF9296" w:rsidR="00276352" w:rsidRDefault="00276352" w:rsidP="00276352">
    <w:pPr>
      <w:pStyle w:val="bpuHeadSpon"/>
    </w:pPr>
    <w:r>
      <w:fldChar w:fldCharType="begin"/>
    </w:r>
    <w:r>
      <w:instrText xml:space="preserve"> PAGE  \* MERGEFORMAT </w:instrText>
    </w:r>
    <w:r>
      <w:fldChar w:fldCharType="separate"/>
    </w:r>
    <w:r w:rsidR="00844F5C">
      <w:rPr>
        <w:noProof/>
      </w:rPr>
      <w:t>2</w:t>
    </w:r>
    <w:r>
      <w:fldChar w:fldCharType="end"/>
    </w:r>
  </w:p>
  <w:p w14:paraId="68F0D4A7" w14:textId="77777777" w:rsidR="00276352" w:rsidRDefault="00276352" w:rsidP="00276352">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F1BEA"/>
    <w:rsid w:val="000051BD"/>
    <w:rsid w:val="000160A5"/>
    <w:rsid w:val="0002335B"/>
    <w:rsid w:val="0003549A"/>
    <w:rsid w:val="000367AE"/>
    <w:rsid w:val="00043B22"/>
    <w:rsid w:val="00054975"/>
    <w:rsid w:val="00057D20"/>
    <w:rsid w:val="0006197C"/>
    <w:rsid w:val="0006281F"/>
    <w:rsid w:val="0008141C"/>
    <w:rsid w:val="00092F6B"/>
    <w:rsid w:val="00094A55"/>
    <w:rsid w:val="000A44A7"/>
    <w:rsid w:val="000B1054"/>
    <w:rsid w:val="000B3411"/>
    <w:rsid w:val="000C054C"/>
    <w:rsid w:val="000C12C2"/>
    <w:rsid w:val="000C5038"/>
    <w:rsid w:val="000D0B63"/>
    <w:rsid w:val="000D11AF"/>
    <w:rsid w:val="000D6255"/>
    <w:rsid w:val="000D6262"/>
    <w:rsid w:val="000D7B4A"/>
    <w:rsid w:val="000E4006"/>
    <w:rsid w:val="000F3DA2"/>
    <w:rsid w:val="000F5FDE"/>
    <w:rsid w:val="000F7466"/>
    <w:rsid w:val="0011146E"/>
    <w:rsid w:val="0013000E"/>
    <w:rsid w:val="00133F81"/>
    <w:rsid w:val="00135943"/>
    <w:rsid w:val="0014575F"/>
    <w:rsid w:val="0014664C"/>
    <w:rsid w:val="001645FB"/>
    <w:rsid w:val="00173D2B"/>
    <w:rsid w:val="00181676"/>
    <w:rsid w:val="00183603"/>
    <w:rsid w:val="0018410E"/>
    <w:rsid w:val="00194E78"/>
    <w:rsid w:val="0019707B"/>
    <w:rsid w:val="00197E8B"/>
    <w:rsid w:val="00197FA4"/>
    <w:rsid w:val="001A161A"/>
    <w:rsid w:val="001A3B79"/>
    <w:rsid w:val="001A66B6"/>
    <w:rsid w:val="001B4716"/>
    <w:rsid w:val="001B4EA4"/>
    <w:rsid w:val="001C7C52"/>
    <w:rsid w:val="001D25F3"/>
    <w:rsid w:val="001D69C6"/>
    <w:rsid w:val="001E15F1"/>
    <w:rsid w:val="001E16FA"/>
    <w:rsid w:val="001E6213"/>
    <w:rsid w:val="001F14C7"/>
    <w:rsid w:val="001F7405"/>
    <w:rsid w:val="00205533"/>
    <w:rsid w:val="00212B8D"/>
    <w:rsid w:val="002206C8"/>
    <w:rsid w:val="00222983"/>
    <w:rsid w:val="00226AC1"/>
    <w:rsid w:val="002370D0"/>
    <w:rsid w:val="00255958"/>
    <w:rsid w:val="0025759D"/>
    <w:rsid w:val="00257FA2"/>
    <w:rsid w:val="0026574A"/>
    <w:rsid w:val="002660BB"/>
    <w:rsid w:val="002720E8"/>
    <w:rsid w:val="00275293"/>
    <w:rsid w:val="00276352"/>
    <w:rsid w:val="002776B0"/>
    <w:rsid w:val="00286C7E"/>
    <w:rsid w:val="002A1029"/>
    <w:rsid w:val="002A3A1A"/>
    <w:rsid w:val="002A4692"/>
    <w:rsid w:val="002A51BA"/>
    <w:rsid w:val="002B2E26"/>
    <w:rsid w:val="002B3FE6"/>
    <w:rsid w:val="002C2D81"/>
    <w:rsid w:val="002C461E"/>
    <w:rsid w:val="002C6CEC"/>
    <w:rsid w:val="002E09CE"/>
    <w:rsid w:val="002E69D1"/>
    <w:rsid w:val="002F033D"/>
    <w:rsid w:val="002F1BEA"/>
    <w:rsid w:val="002F3BA6"/>
    <w:rsid w:val="00315320"/>
    <w:rsid w:val="00325776"/>
    <w:rsid w:val="00325E27"/>
    <w:rsid w:val="00330395"/>
    <w:rsid w:val="00333704"/>
    <w:rsid w:val="00336624"/>
    <w:rsid w:val="0034025F"/>
    <w:rsid w:val="00340458"/>
    <w:rsid w:val="0034200F"/>
    <w:rsid w:val="003446A0"/>
    <w:rsid w:val="0034481B"/>
    <w:rsid w:val="00346915"/>
    <w:rsid w:val="00350130"/>
    <w:rsid w:val="00353F3C"/>
    <w:rsid w:val="00354334"/>
    <w:rsid w:val="0036180C"/>
    <w:rsid w:val="00363CF5"/>
    <w:rsid w:val="00364344"/>
    <w:rsid w:val="003702CA"/>
    <w:rsid w:val="00370617"/>
    <w:rsid w:val="00382F1F"/>
    <w:rsid w:val="003840E5"/>
    <w:rsid w:val="00391BED"/>
    <w:rsid w:val="00391DA4"/>
    <w:rsid w:val="003A3C64"/>
    <w:rsid w:val="003A3F83"/>
    <w:rsid w:val="003C43EF"/>
    <w:rsid w:val="003C5A6B"/>
    <w:rsid w:val="003C7FB2"/>
    <w:rsid w:val="003D24DE"/>
    <w:rsid w:val="003E26D4"/>
    <w:rsid w:val="003E47BA"/>
    <w:rsid w:val="003F3B37"/>
    <w:rsid w:val="0040195A"/>
    <w:rsid w:val="00402DC0"/>
    <w:rsid w:val="00414F36"/>
    <w:rsid w:val="00416C4B"/>
    <w:rsid w:val="0041751E"/>
    <w:rsid w:val="004211E5"/>
    <w:rsid w:val="00422091"/>
    <w:rsid w:val="0043386C"/>
    <w:rsid w:val="00436F2D"/>
    <w:rsid w:val="00436F5D"/>
    <w:rsid w:val="00441B42"/>
    <w:rsid w:val="0045118A"/>
    <w:rsid w:val="00451E90"/>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29A4"/>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2754"/>
    <w:rsid w:val="00605B20"/>
    <w:rsid w:val="0061156F"/>
    <w:rsid w:val="00613FF5"/>
    <w:rsid w:val="006155A8"/>
    <w:rsid w:val="00621076"/>
    <w:rsid w:val="00621B94"/>
    <w:rsid w:val="00626239"/>
    <w:rsid w:val="00635316"/>
    <w:rsid w:val="00635449"/>
    <w:rsid w:val="006378C5"/>
    <w:rsid w:val="00645E6A"/>
    <w:rsid w:val="00665CBC"/>
    <w:rsid w:val="00667A5C"/>
    <w:rsid w:val="00677316"/>
    <w:rsid w:val="00685AAE"/>
    <w:rsid w:val="00686AEB"/>
    <w:rsid w:val="006B7897"/>
    <w:rsid w:val="006B7FA7"/>
    <w:rsid w:val="006C086A"/>
    <w:rsid w:val="006C21C1"/>
    <w:rsid w:val="006C7327"/>
    <w:rsid w:val="006D00E5"/>
    <w:rsid w:val="006D791B"/>
    <w:rsid w:val="006E1AFA"/>
    <w:rsid w:val="006E240A"/>
    <w:rsid w:val="006E2895"/>
    <w:rsid w:val="006F180D"/>
    <w:rsid w:val="006F4334"/>
    <w:rsid w:val="006F47AF"/>
    <w:rsid w:val="006F6B8A"/>
    <w:rsid w:val="00707CD3"/>
    <w:rsid w:val="00716BB9"/>
    <w:rsid w:val="007256D1"/>
    <w:rsid w:val="007279FD"/>
    <w:rsid w:val="007502CB"/>
    <w:rsid w:val="00752D79"/>
    <w:rsid w:val="00752E20"/>
    <w:rsid w:val="00756EDE"/>
    <w:rsid w:val="00764456"/>
    <w:rsid w:val="00781B4D"/>
    <w:rsid w:val="007824BF"/>
    <w:rsid w:val="00783B8D"/>
    <w:rsid w:val="00794B94"/>
    <w:rsid w:val="00794BD4"/>
    <w:rsid w:val="007A2F73"/>
    <w:rsid w:val="007A3061"/>
    <w:rsid w:val="007A5A0B"/>
    <w:rsid w:val="007A6F93"/>
    <w:rsid w:val="007C0E14"/>
    <w:rsid w:val="007C7DE4"/>
    <w:rsid w:val="007D40CB"/>
    <w:rsid w:val="007D5796"/>
    <w:rsid w:val="007D59C0"/>
    <w:rsid w:val="007D7D9C"/>
    <w:rsid w:val="007F485D"/>
    <w:rsid w:val="007F6050"/>
    <w:rsid w:val="00801D7B"/>
    <w:rsid w:val="00813627"/>
    <w:rsid w:val="008137D8"/>
    <w:rsid w:val="00832816"/>
    <w:rsid w:val="0083384B"/>
    <w:rsid w:val="00837109"/>
    <w:rsid w:val="00840365"/>
    <w:rsid w:val="008406A3"/>
    <w:rsid w:val="00841D2C"/>
    <w:rsid w:val="00844F5C"/>
    <w:rsid w:val="00845F3C"/>
    <w:rsid w:val="008461B8"/>
    <w:rsid w:val="008462F1"/>
    <w:rsid w:val="00847EF1"/>
    <w:rsid w:val="008538FA"/>
    <w:rsid w:val="008573B0"/>
    <w:rsid w:val="00866563"/>
    <w:rsid w:val="00867AC2"/>
    <w:rsid w:val="00867F18"/>
    <w:rsid w:val="0087056E"/>
    <w:rsid w:val="00875402"/>
    <w:rsid w:val="00884D51"/>
    <w:rsid w:val="008916EC"/>
    <w:rsid w:val="00891E4F"/>
    <w:rsid w:val="008A31C5"/>
    <w:rsid w:val="008A4F9A"/>
    <w:rsid w:val="008B2850"/>
    <w:rsid w:val="008C79B3"/>
    <w:rsid w:val="008D77BD"/>
    <w:rsid w:val="008E454C"/>
    <w:rsid w:val="008E772A"/>
    <w:rsid w:val="008F1E5A"/>
    <w:rsid w:val="00901BDA"/>
    <w:rsid w:val="009121D8"/>
    <w:rsid w:val="00912D9C"/>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B69D9"/>
    <w:rsid w:val="00AC4BBE"/>
    <w:rsid w:val="00AC6466"/>
    <w:rsid w:val="00AC7639"/>
    <w:rsid w:val="00AD08BB"/>
    <w:rsid w:val="00AD0EC0"/>
    <w:rsid w:val="00AD70D6"/>
    <w:rsid w:val="00AD75BC"/>
    <w:rsid w:val="00AD7BB0"/>
    <w:rsid w:val="00AD7BC9"/>
    <w:rsid w:val="00AE1871"/>
    <w:rsid w:val="00AF0DB9"/>
    <w:rsid w:val="00AF1A8C"/>
    <w:rsid w:val="00B0116D"/>
    <w:rsid w:val="00B01173"/>
    <w:rsid w:val="00B02F35"/>
    <w:rsid w:val="00B05A3C"/>
    <w:rsid w:val="00B07100"/>
    <w:rsid w:val="00B1138C"/>
    <w:rsid w:val="00B12AC7"/>
    <w:rsid w:val="00B2574A"/>
    <w:rsid w:val="00B35D8A"/>
    <w:rsid w:val="00B45B34"/>
    <w:rsid w:val="00B47DBD"/>
    <w:rsid w:val="00B57047"/>
    <w:rsid w:val="00B61D86"/>
    <w:rsid w:val="00B6342D"/>
    <w:rsid w:val="00B726BD"/>
    <w:rsid w:val="00B732BC"/>
    <w:rsid w:val="00B85426"/>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34989"/>
    <w:rsid w:val="00C46BC1"/>
    <w:rsid w:val="00C5235F"/>
    <w:rsid w:val="00C54CE2"/>
    <w:rsid w:val="00C66BF3"/>
    <w:rsid w:val="00C70140"/>
    <w:rsid w:val="00C73CA7"/>
    <w:rsid w:val="00C77568"/>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33C"/>
    <w:rsid w:val="00D16561"/>
    <w:rsid w:val="00D17FF8"/>
    <w:rsid w:val="00D268AC"/>
    <w:rsid w:val="00D27FF3"/>
    <w:rsid w:val="00D343D0"/>
    <w:rsid w:val="00D36408"/>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56577"/>
    <w:rsid w:val="00E608F1"/>
    <w:rsid w:val="00E611B9"/>
    <w:rsid w:val="00E7144F"/>
    <w:rsid w:val="00E73D74"/>
    <w:rsid w:val="00E76A79"/>
    <w:rsid w:val="00E80692"/>
    <w:rsid w:val="00E80C24"/>
    <w:rsid w:val="00E93836"/>
    <w:rsid w:val="00EA7C16"/>
    <w:rsid w:val="00EC5281"/>
    <w:rsid w:val="00EC791D"/>
    <w:rsid w:val="00EC7CA6"/>
    <w:rsid w:val="00ED008F"/>
    <w:rsid w:val="00ED3C5D"/>
    <w:rsid w:val="00ED4553"/>
    <w:rsid w:val="00F00D08"/>
    <w:rsid w:val="00F1350D"/>
    <w:rsid w:val="00F15583"/>
    <w:rsid w:val="00F17C18"/>
    <w:rsid w:val="00F200EE"/>
    <w:rsid w:val="00F22481"/>
    <w:rsid w:val="00F2542E"/>
    <w:rsid w:val="00F27278"/>
    <w:rsid w:val="00F344E3"/>
    <w:rsid w:val="00F34D58"/>
    <w:rsid w:val="00F40FC9"/>
    <w:rsid w:val="00F41A9D"/>
    <w:rsid w:val="00F42A1C"/>
    <w:rsid w:val="00F44314"/>
    <w:rsid w:val="00F54B9C"/>
    <w:rsid w:val="00F56E96"/>
    <w:rsid w:val="00F573DD"/>
    <w:rsid w:val="00F61E59"/>
    <w:rsid w:val="00F63D99"/>
    <w:rsid w:val="00F6426B"/>
    <w:rsid w:val="00F709B3"/>
    <w:rsid w:val="00F71A5E"/>
    <w:rsid w:val="00F759D3"/>
    <w:rsid w:val="00F80AAC"/>
    <w:rsid w:val="00F91318"/>
    <w:rsid w:val="00FA0AFC"/>
    <w:rsid w:val="00FA1C82"/>
    <w:rsid w:val="00FA2ED1"/>
    <w:rsid w:val="00FA4A52"/>
    <w:rsid w:val="00FB4045"/>
    <w:rsid w:val="00FB4D8E"/>
    <w:rsid w:val="00FC0D0A"/>
    <w:rsid w:val="00FC1B0B"/>
    <w:rsid w:val="00FD2F97"/>
    <w:rsid w:val="00FD411D"/>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52A5ED8D"/>
  <w15:docId w15:val="{D3685572-E1E0-4FA5-9C6A-EE2D89A84F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styleId="BalloonText">
    <w:name w:val="Balloon Text"/>
    <w:basedOn w:val="Normal"/>
    <w:link w:val="BalloonTextChar"/>
    <w:semiHidden/>
    <w:unhideWhenUsed/>
    <w:rsid w:val="00451E90"/>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451E90"/>
    <w:rPr>
      <w:rFonts w:ascii="Segoe UI" w:hAnsi="Segoe UI" w:cs="Segoe UI"/>
      <w:spacing w:val="4"/>
      <w:sz w:val="18"/>
      <w:szCs w:val="18"/>
    </w:rPr>
  </w:style>
  <w:style w:type="character" w:styleId="CommentReference">
    <w:name w:val="annotation reference"/>
    <w:basedOn w:val="DefaultParagraphFont"/>
    <w:semiHidden/>
    <w:unhideWhenUsed/>
    <w:rsid w:val="00451E90"/>
    <w:rPr>
      <w:sz w:val="16"/>
      <w:szCs w:val="16"/>
    </w:rPr>
  </w:style>
  <w:style w:type="paragraph" w:styleId="CommentText">
    <w:name w:val="annotation text"/>
    <w:basedOn w:val="Normal"/>
    <w:link w:val="CommentTextChar"/>
    <w:semiHidden/>
    <w:unhideWhenUsed/>
    <w:rsid w:val="00451E90"/>
    <w:pPr>
      <w:spacing w:line="240" w:lineRule="auto"/>
    </w:pPr>
    <w:rPr>
      <w:sz w:val="20"/>
      <w:szCs w:val="20"/>
    </w:rPr>
  </w:style>
  <w:style w:type="character" w:customStyle="1" w:styleId="CommentTextChar">
    <w:name w:val="Comment Text Char"/>
    <w:basedOn w:val="DefaultParagraphFont"/>
    <w:link w:val="CommentText"/>
    <w:semiHidden/>
    <w:rsid w:val="00451E90"/>
    <w:rPr>
      <w:spacing w:val="4"/>
    </w:rPr>
  </w:style>
  <w:style w:type="paragraph" w:styleId="CommentSubject">
    <w:name w:val="annotation subject"/>
    <w:basedOn w:val="CommentText"/>
    <w:next w:val="CommentText"/>
    <w:link w:val="CommentSubjectChar"/>
    <w:semiHidden/>
    <w:unhideWhenUsed/>
    <w:rsid w:val="00451E90"/>
    <w:rPr>
      <w:b/>
      <w:bCs/>
    </w:rPr>
  </w:style>
  <w:style w:type="character" w:customStyle="1" w:styleId="CommentSubjectChar">
    <w:name w:val="Comment Subject Char"/>
    <w:basedOn w:val="CommentTextChar"/>
    <w:link w:val="CommentSubject"/>
    <w:semiHidden/>
    <w:rsid w:val="00451E90"/>
    <w:rPr>
      <w:b/>
      <w:bCs/>
      <w:spacing w:val="4"/>
    </w:rPr>
  </w:style>
  <w:style w:type="character" w:styleId="LineNumber">
    <w:name w:val="line number"/>
    <w:basedOn w:val="DefaultParagraphFont"/>
    <w:semiHidden/>
    <w:unhideWhenUsed/>
    <w:rsid w:val="0027635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B542200-E493-4637-B6AF-9DB74FD0605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4</Pages>
  <Words>885</Words>
  <Characters>4963</Characters>
  <Application>Microsoft Office Word</Application>
  <DocSecurity>0</DocSecurity>
  <Lines>128</Lines>
  <Paragraphs>38</Paragraphs>
  <ScaleCrop>false</ScaleCrop>
  <HeadingPairs>
    <vt:vector size="2" baseType="variant">
      <vt:variant>
        <vt:lpstr>Title</vt:lpstr>
      </vt:variant>
      <vt:variant>
        <vt:i4>1</vt:i4>
      </vt:variant>
    </vt:vector>
  </HeadingPairs>
  <TitlesOfParts>
    <vt:vector size="1" baseType="lpstr">
      <vt:lpstr>A5645</vt:lpstr>
    </vt:vector>
  </TitlesOfParts>
  <Manager>R230</Manager>
  <Company>NJ Office of Legislative Services</Company>
  <LinksUpToDate>false</LinksUpToDate>
  <CharactersWithSpaces>5856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A5645</dc:title>
  <dc:subject>21-1943</dc:subject>
  <dc:creator>Assemblyman  CONAWAY</dc:creator>
  <cp:keywords>A5645|4|HS |263|0|263|N|0|</cp:keywords>
  <dc:description>INTRODUCED MAY 12, 2021</dc:description>
  <cp:lastModifiedBy>Todaro, Vivian</cp:lastModifiedBy>
  <cp:revision>2</cp:revision>
  <cp:lastPrinted>2021-11-16T15:33:00Z</cp:lastPrinted>
  <dcterms:created xsi:type="dcterms:W3CDTF">2021-11-16T15:33:00Z</dcterms:created>
  <dcterms:modified xsi:type="dcterms:W3CDTF">2021-11-16T15:33:00Z</dcterms:modified>
  <cp:category>N/A_x000d_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