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DE8" w:rsidRDefault="00BB7DE8" w:rsidP="00BB7DE8">
      <w:pPr>
        <w:pStyle w:val="bpuReprint"/>
      </w:pPr>
      <w:bookmarkStart w:id="0" w:name="bpuFrontPg"/>
      <w:bookmarkStart w:id="1" w:name="_GoBack"/>
      <w:bookmarkEnd w:id="0"/>
      <w:bookmarkEnd w:id="1"/>
      <w:r>
        <w:t>[First Reprint]</w:t>
      </w:r>
    </w:p>
    <w:p w:rsidR="00DF1E74" w:rsidRDefault="00DF1E74" w:rsidP="00DF1E74">
      <w:pPr>
        <w:pStyle w:val="bpuBill"/>
      </w:pPr>
      <w:r>
        <w:t xml:space="preserve">ASSEMBLY, No. 5684 </w:t>
      </w:r>
    </w:p>
    <w:p w:rsidR="00DF1E74" w:rsidRPr="009D38FF" w:rsidRDefault="00DF1E74" w:rsidP="00DF1E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86310" r:id="rId8"/>
        </w:object>
      </w:r>
    </w:p>
    <w:p w:rsidR="00DF1E74" w:rsidRDefault="00DF1E74" w:rsidP="00DF1E74">
      <w:pPr>
        <w:pStyle w:val="bpuState"/>
      </w:pPr>
      <w:r>
        <w:t>STATE OF NEW JERSEY</w:t>
      </w:r>
    </w:p>
    <w:p w:rsidR="00DF1E74" w:rsidRDefault="00DF1E74" w:rsidP="00DF1E74">
      <w:pPr>
        <w:pStyle w:val="bpuLegislature"/>
      </w:pPr>
      <w:r>
        <w:t>219th LEGISLATURE</w:t>
      </w:r>
    </w:p>
    <w:p w:rsidR="00DF1E74" w:rsidRDefault="00DF1E74" w:rsidP="00DF1E74">
      <w:pPr>
        <w:pStyle w:val="bpuWpGraphic"/>
      </w:pPr>
      <w:r>
        <w:object w:dxaOrig="8985" w:dyaOrig="255">
          <v:shape id="_x0000_i1026" type="#_x0000_t75" style="width:6in;height:12pt" o:ole="">
            <v:imagedata r:id="rId7" o:title=""/>
          </v:shape>
          <o:OLEObject Type="Embed" ProgID="WPWin6.1" ShapeID="_x0000_i1026" DrawAspect="Content" ObjectID="_1686486311" r:id="rId9"/>
        </w:object>
      </w:r>
      <w:r>
        <w:t xml:space="preserve">  </w:t>
      </w:r>
    </w:p>
    <w:p w:rsidR="00DF1E74" w:rsidRDefault="00DF1E74" w:rsidP="00DF1E74">
      <w:pPr>
        <w:pStyle w:val="bpuIntro"/>
      </w:pPr>
      <w:r>
        <w:t>INTRODUCED MAY 12, 2021</w:t>
      </w:r>
    </w:p>
    <w:p w:rsidR="00DF1E74" w:rsidRDefault="00DF1E74" w:rsidP="00DF1E74">
      <w:pPr>
        <w:pStyle w:val="bpuIntro"/>
      </w:pPr>
    </w:p>
    <w:p w:rsidR="00DF1E74" w:rsidRDefault="00DF1E74" w:rsidP="00DF1E74">
      <w:pPr>
        <w:pStyle w:val="bpuIntro"/>
        <w:sectPr w:rsidR="00DF1E74" w:rsidSect="005328A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F1E74" w:rsidRDefault="00DF1E74" w:rsidP="00DF1E74">
      <w:pPr>
        <w:pStyle w:val="bpuIntro"/>
      </w:pPr>
    </w:p>
    <w:p w:rsidR="00DF1E74" w:rsidRDefault="00DF1E74" w:rsidP="00DF1E74">
      <w:pPr>
        <w:pStyle w:val="bpuSponsor"/>
      </w:pPr>
      <w:r>
        <w:t>Sponsored by:</w:t>
      </w:r>
    </w:p>
    <w:p w:rsidR="00DF1E74" w:rsidRDefault="00DF1E74" w:rsidP="00DF1E74">
      <w:pPr>
        <w:pStyle w:val="bpuSponsor"/>
      </w:pPr>
      <w:r>
        <w:t>Assemblywoman  BRITNEE N. TIMBERLAKE</w:t>
      </w:r>
    </w:p>
    <w:p w:rsidR="00DF1E74" w:rsidRDefault="00DF1E74" w:rsidP="00DF1E74">
      <w:pPr>
        <w:pStyle w:val="bpuSponsor"/>
      </w:pPr>
      <w:r>
        <w:t>District 34 (Essex and Passaic)</w:t>
      </w:r>
    </w:p>
    <w:p w:rsidR="00DF1E74" w:rsidRDefault="003928BF" w:rsidP="003928BF">
      <w:pPr>
        <w:pStyle w:val="bpuSponsor"/>
      </w:pPr>
      <w:r>
        <w:t>Assemblywoman  MILA M. JASEY</w:t>
      </w:r>
    </w:p>
    <w:p w:rsidR="003928BF" w:rsidRDefault="003928BF" w:rsidP="003928BF">
      <w:pPr>
        <w:pStyle w:val="bpuSponsor"/>
      </w:pPr>
      <w:r>
        <w:t>District 27 (Essex and Morris)</w:t>
      </w:r>
    </w:p>
    <w:p w:rsidR="003928BF" w:rsidRDefault="00B7133F" w:rsidP="00B7133F">
      <w:pPr>
        <w:pStyle w:val="bpuSponsor"/>
      </w:pPr>
      <w:r>
        <w:t>Assemblywoman  ANGELA V. MCKNIGHT</w:t>
      </w:r>
    </w:p>
    <w:p w:rsidR="00B7133F" w:rsidRDefault="00B7133F" w:rsidP="00B7133F">
      <w:pPr>
        <w:pStyle w:val="bpuSponsor"/>
      </w:pPr>
      <w:r>
        <w:t>District 31 (Hudson)</w:t>
      </w:r>
    </w:p>
    <w:p w:rsidR="00B7133F" w:rsidRPr="00B7133F" w:rsidRDefault="00B7133F" w:rsidP="00B7133F">
      <w:pPr>
        <w:pStyle w:val="bpuSponsor"/>
      </w:pPr>
    </w:p>
    <w:p w:rsidR="007F26BB" w:rsidRDefault="005328A6" w:rsidP="005328A6">
      <w:pPr>
        <w:pStyle w:val="bpuSponsor"/>
      </w:pPr>
      <w:r>
        <w:t>Co-Sponsored by:</w:t>
      </w:r>
    </w:p>
    <w:p w:rsidR="005328A6" w:rsidRPr="005328A6" w:rsidRDefault="005328A6" w:rsidP="005328A6">
      <w:pPr>
        <w:pStyle w:val="bpuSponsor"/>
      </w:pPr>
      <w:r w:rsidRPr="005328A6">
        <w:t xml:space="preserve">Assemblymen </w:t>
      </w:r>
      <w:proofErr w:type="spellStart"/>
      <w:r w:rsidRPr="005328A6">
        <w:t>Mukherji</w:t>
      </w:r>
      <w:proofErr w:type="spellEnd"/>
      <w:r w:rsidRPr="005328A6">
        <w:t xml:space="preserve">, Stanley, Assemblywomen Reynolds-Jackson, </w:t>
      </w:r>
      <w:proofErr w:type="spellStart"/>
      <w:r w:rsidRPr="005328A6">
        <w:t>Vainieri</w:t>
      </w:r>
      <w:proofErr w:type="spellEnd"/>
      <w:r w:rsidRPr="005328A6">
        <w:t xml:space="preserve"> </w:t>
      </w:r>
      <w:proofErr w:type="spellStart"/>
      <w:r w:rsidRPr="005328A6">
        <w:t>Huttle</w:t>
      </w:r>
      <w:proofErr w:type="spellEnd"/>
      <w:r w:rsidRPr="005328A6">
        <w:t xml:space="preserve"> and Assemblyman </w:t>
      </w:r>
      <w:proofErr w:type="spellStart"/>
      <w:r w:rsidRPr="005328A6">
        <w:t>Karabinchak</w:t>
      </w:r>
      <w:proofErr w:type="spellEnd"/>
    </w:p>
    <w:p w:rsidR="000E1888" w:rsidRDefault="000E1888" w:rsidP="000B78F6"/>
    <w:p w:rsidR="005328A6" w:rsidRDefault="005328A6" w:rsidP="000B78F6"/>
    <w:p w:rsidR="000B78F6" w:rsidRPr="000B78F6" w:rsidRDefault="000B78F6" w:rsidP="000B78F6"/>
    <w:p w:rsidR="00DF1E74" w:rsidRDefault="00DF1E74" w:rsidP="00DF1E74">
      <w:pPr>
        <w:pStyle w:val="bpuSponsor"/>
      </w:pPr>
    </w:p>
    <w:p w:rsidR="00DF1E74" w:rsidRDefault="00DF1E74" w:rsidP="00DF1E74">
      <w:pPr>
        <w:pStyle w:val="bpuSponsor"/>
      </w:pPr>
      <w:r>
        <w:t>SYNOPSIS</w:t>
      </w:r>
    </w:p>
    <w:p w:rsidR="00DF1E74" w:rsidRDefault="00140E5E" w:rsidP="00DF1E74">
      <w:pPr>
        <w:pStyle w:val="bpuNormText"/>
      </w:pPr>
      <w:r>
        <w:tab/>
        <w:t>Provides mortgage payment relief for residential property owners and small landlords during time of coronavirus disease 2019 pandemic.</w:t>
      </w:r>
    </w:p>
    <w:p w:rsidR="00DF1E74" w:rsidRDefault="00DF1E74" w:rsidP="00DF1E74">
      <w:pPr>
        <w:pStyle w:val="bpuNormText"/>
      </w:pPr>
    </w:p>
    <w:p w:rsidR="00DF1E74" w:rsidRDefault="00DF1E74" w:rsidP="00DF1E74">
      <w:pPr>
        <w:pStyle w:val="bpuSponsor"/>
      </w:pPr>
      <w:r>
        <w:t xml:space="preserve">CURRENT VERSION OF TEXT </w:t>
      </w:r>
    </w:p>
    <w:p w:rsidR="00DF1E74" w:rsidRDefault="00BB7DE8" w:rsidP="00DF1E74">
      <w:pPr>
        <w:pStyle w:val="bpuNormText"/>
      </w:pPr>
      <w:r>
        <w:tab/>
        <w:t>As reported by the Assembly Housing Committee on June 2, 2021, with amendments.</w:t>
      </w:r>
    </w:p>
    <w:p w:rsidR="00DF1E74" w:rsidRDefault="00DF1E74" w:rsidP="00DF1E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1E74" w:rsidRDefault="00DF1E74" w:rsidP="008916EC">
      <w:pPr>
        <w:pStyle w:val="FronterPage"/>
        <w:tabs>
          <w:tab w:val="clear" w:pos="720"/>
          <w:tab w:val="clear" w:pos="1440"/>
          <w:tab w:val="clear" w:pos="2160"/>
          <w:tab w:val="clear" w:pos="2880"/>
          <w:tab w:val="clear" w:pos="3600"/>
          <w:tab w:val="clear" w:pos="4320"/>
          <w:tab w:val="clear" w:pos="5040"/>
        </w:tabs>
        <w:sectPr w:rsidR="00DF1E74" w:rsidSect="00DF1E74">
          <w:type w:val="continuous"/>
          <w:pgSz w:w="12240" w:h="20160" w:code="5"/>
          <w:pgMar w:top="1440" w:right="2275" w:bottom="1440" w:left="2275" w:header="72" w:footer="720" w:gutter="0"/>
          <w:pgNumType w:start="1"/>
          <w:cols w:space="720"/>
          <w:docGrid w:linePitch="360"/>
        </w:sectPr>
      </w:pPr>
    </w:p>
    <w:p w:rsidR="00F20F16" w:rsidRDefault="00BB7DE8" w:rsidP="00BB7DE8">
      <w:pPr>
        <w:ind w:left="288" w:hanging="288"/>
      </w:pPr>
      <w:r w:rsidRPr="00F20F16">
        <w:rPr>
          <w:rStyle w:val="BillHead"/>
        </w:rPr>
        <w:lastRenderedPageBreak/>
        <w:t>An Act</w:t>
      </w:r>
      <w:r w:rsidRPr="006B7FA7">
        <w:rPr>
          <w:rStyle w:val="HangingAnActChar"/>
        </w:rPr>
        <w:t xml:space="preserve"> </w:t>
      </w:r>
      <w:r>
        <w:t xml:space="preserve">concerning emergency mortgage relief for residential property owners </w:t>
      </w:r>
      <w:r>
        <w:rPr>
          <w:rFonts w:ascii="Albertus Extra Bold" w:hAnsi="Albertus Extra Bold"/>
          <w:b/>
          <w:vertAlign w:val="superscript"/>
        </w:rPr>
        <w:t>1</w:t>
      </w:r>
      <w:r>
        <w:rPr>
          <w:u w:val="single"/>
        </w:rPr>
        <w:t>and small landlords</w:t>
      </w:r>
      <w:r>
        <w:rPr>
          <w:rFonts w:ascii="Albertus Extra Bold" w:hAnsi="Albertus Extra Bold"/>
          <w:b/>
          <w:vertAlign w:val="superscript"/>
        </w:rPr>
        <w:t>1</w:t>
      </w:r>
      <w:r>
        <w:t>.</w:t>
      </w:r>
    </w:p>
    <w:p w:rsidR="00BB7DE8" w:rsidRPr="00D71D68" w:rsidRDefault="00BB7DE8" w:rsidP="00F20F16"/>
    <w:p w:rsidR="00F20F16" w:rsidRPr="00AA7880" w:rsidRDefault="00F20F16" w:rsidP="00F20F16">
      <w:r>
        <w:tab/>
      </w:r>
      <w:r>
        <w:rPr>
          <w:rStyle w:val="BillHeading2"/>
        </w:rPr>
        <w:t xml:space="preserve">Be It Enacted </w:t>
      </w:r>
      <w:r>
        <w:rPr>
          <w:rStyle w:val="BillLanguage"/>
        </w:rPr>
        <w:t>by the Senate and General Assembly of the State of New Jersey:</w:t>
      </w:r>
    </w:p>
    <w:p w:rsidR="00F20F16" w:rsidRDefault="00F20F16" w:rsidP="00F20F16"/>
    <w:p w:rsidR="00BB7DE8" w:rsidRPr="00B96F27" w:rsidRDefault="00BB7DE8" w:rsidP="00BB7DE8">
      <w:r w:rsidRPr="00B96F27">
        <w:tab/>
        <w:t>1.</w:t>
      </w:r>
      <w:r>
        <w:tab/>
      </w:r>
      <w:r w:rsidRPr="00B96F27">
        <w:t xml:space="preserve">The Legislature finds and declares that:  </w:t>
      </w:r>
    </w:p>
    <w:p w:rsidR="00BB7DE8" w:rsidRPr="00B96F27" w:rsidRDefault="00BB7DE8" w:rsidP="00BB7DE8">
      <w:r w:rsidRPr="00B96F27">
        <w:tab/>
        <w:t>a.</w:t>
      </w:r>
      <w:r>
        <w:tab/>
      </w:r>
      <w:r w:rsidRPr="00B96F27">
        <w:t>The social distancing measures and associated economic pause, that have been necessary to combat the COVID-19 pandemic, have also forced many New Jersey residents to endure job losses and prolonged depletions of income;</w:t>
      </w:r>
    </w:p>
    <w:p w:rsidR="00BB7DE8" w:rsidRPr="00B96F27" w:rsidRDefault="00BB7DE8" w:rsidP="00BB7DE8">
      <w:r w:rsidRPr="00B96F27">
        <w:tab/>
        <w:t>b.</w:t>
      </w:r>
      <w:r>
        <w:tab/>
      </w:r>
      <w:r w:rsidRPr="00B96F27">
        <w:t>As of May 2020, the unemployment rate of the United States exceeded 14 percent, and unemployment rates have remained persistently high in New Jersey and other states;</w:t>
      </w:r>
    </w:p>
    <w:p w:rsidR="00BB7DE8" w:rsidRPr="00B96F27" w:rsidRDefault="00BB7DE8" w:rsidP="00BB7DE8">
      <w:r w:rsidRPr="00B96F27">
        <w:tab/>
        <w:t>c.</w:t>
      </w:r>
      <w:r>
        <w:tab/>
      </w:r>
      <w:r w:rsidRPr="00B96F27">
        <w:t>The residents of New Jersey have not been able to avoid suffering as a result of the COVID-19 pandemic, as the State is widely reported to have the highest COVID-19-related death rate in the nation, and the economic impact on many State residents appears to be similarly catastrophic;</w:t>
      </w:r>
    </w:p>
    <w:p w:rsidR="00BB7DE8" w:rsidRPr="00B96F27" w:rsidRDefault="00BB7DE8" w:rsidP="00BB7DE8">
      <w:r w:rsidRPr="00B96F27">
        <w:tab/>
        <w:t>d.</w:t>
      </w:r>
      <w:r>
        <w:tab/>
      </w:r>
      <w:r w:rsidRPr="00B96F27">
        <w:t>This unprecedented situation has made the timely payment of mortgages impossible for many State residents; and</w:t>
      </w:r>
    </w:p>
    <w:p w:rsidR="00BB7DE8" w:rsidRPr="009A7248" w:rsidRDefault="00BB7DE8" w:rsidP="00BB7DE8">
      <w:r w:rsidRPr="00B96F27">
        <w:tab/>
        <w:t>e.</w:t>
      </w:r>
      <w:r>
        <w:tab/>
      </w:r>
      <w:r w:rsidRPr="00B96F27">
        <w:t xml:space="preserve">It is, therefore, necessary and in the public interest for the Legislature to enact temporary measures to protect the State’s homeowners </w:t>
      </w:r>
      <w:r w:rsidRPr="00D30593">
        <w:rPr>
          <w:rFonts w:ascii="Albertus Extra Bold" w:hAnsi="Albertus Extra Bold"/>
          <w:b/>
          <w:vertAlign w:val="superscript"/>
        </w:rPr>
        <w:t>1</w:t>
      </w:r>
      <w:r w:rsidRPr="00B96F27">
        <w:rPr>
          <w:u w:val="single"/>
        </w:rPr>
        <w:t>and small landlords</w:t>
      </w:r>
      <w:r w:rsidRPr="00B96F27">
        <w:rPr>
          <w:rFonts w:ascii="Albertus Extra Bold" w:hAnsi="Albertus Extra Bold"/>
          <w:b/>
          <w:vertAlign w:val="superscript"/>
        </w:rPr>
        <w:t>1</w:t>
      </w:r>
      <w:r w:rsidRPr="00B96F27">
        <w:t xml:space="preserve"> from foreclosure that are in danger of resulting from this unprecedented emergency.</w:t>
      </w:r>
    </w:p>
    <w:p w:rsidR="00BB7DE8" w:rsidRDefault="00BB7DE8" w:rsidP="00BB7DE8">
      <w:pPr>
        <w:shd w:val="clear" w:color="auto" w:fill="FFFFFF" w:themeFill="background1"/>
      </w:pPr>
    </w:p>
    <w:p w:rsidR="00BB7DE8" w:rsidRPr="00B96F27" w:rsidRDefault="00BB7DE8" w:rsidP="00BB7DE8">
      <w:r w:rsidRPr="00B96F27">
        <w:tab/>
        <w:t>2.</w:t>
      </w:r>
      <w:r>
        <w:tab/>
      </w:r>
      <w:r w:rsidRPr="00B96F27">
        <w:t>As used in this act:</w:t>
      </w:r>
    </w:p>
    <w:p w:rsidR="00BB7DE8" w:rsidRPr="00B96F27" w:rsidRDefault="00BB7DE8" w:rsidP="00BB7DE8">
      <w:r w:rsidRPr="00B96F27">
        <w:tab/>
        <w:t>"COVID-19" means the coronavirus disease 2019, as announced by the World Health Organization on February 11, 2020, and first identified in Wuhan, China.</w:t>
      </w:r>
    </w:p>
    <w:p w:rsidR="00BB7DE8" w:rsidRPr="00B96F27" w:rsidRDefault="00BB7DE8" w:rsidP="00BB7DE8">
      <w:r w:rsidRPr="00B96F27">
        <w:tab/>
        <w:t xml:space="preserve">“Creditor” means a person or entity that holds or controls, partially, wholly, indirectly, directly or in a nominee capacity, a mortgage loan securing an owner-occupied residential property, including, but not limited to, an originator, holder, investor, assignee, successor, trust, trustee, nominee holder, or mortgage servicer as defined in section 2 of P.L.2019, c.65 (C.17:16F-28).  </w:t>
      </w:r>
      <w:r w:rsidRPr="00B96F27">
        <w:rPr>
          <w:rFonts w:ascii="Albertus Extra Bold" w:hAnsi="Albertus Extra Bold"/>
          <w:b/>
          <w:vertAlign w:val="superscript"/>
        </w:rPr>
        <w:t>1</w:t>
      </w:r>
      <w:r w:rsidRPr="00B96F27">
        <w:rPr>
          <w:u w:val="single"/>
        </w:rPr>
        <w:t>“Creditor” shall not, however, include any creditor for a mortgage loan that is backed by a shareholder-owned company that operates under a charter of the United States Congress.</w:t>
      </w:r>
      <w:r w:rsidRPr="00B96F27">
        <w:rPr>
          <w:rFonts w:ascii="Albertus Extra Bold" w:hAnsi="Albertus Extra Bold"/>
          <w:b/>
          <w:vertAlign w:val="superscript"/>
        </w:rPr>
        <w:t>1</w:t>
      </w:r>
    </w:p>
    <w:p w:rsidR="00BB7DE8" w:rsidRPr="00B96F27" w:rsidRDefault="00BB7DE8" w:rsidP="00BB7DE8">
      <w:r w:rsidRPr="00B96F27">
        <w:tab/>
        <w:t>“Emergency period” means the period during which a public health emergency exists as declared by the Governor in Executive Order No. 103 of 2020, as extended, and the 60 days following the conclusion of this period.</w:t>
      </w:r>
    </w:p>
    <w:p w:rsidR="00BB7DE8" w:rsidRDefault="00BB7DE8" w:rsidP="00BB7DE8">
      <w:r w:rsidRPr="00B96F27">
        <w:lastRenderedPageBreak/>
        <w:tab/>
        <w:t>“Impacted homeowner” means an owner or mortgagor of title to a residential property, which serves as s</w:t>
      </w:r>
      <w:r>
        <w:t>uch person’s primary residence,</w:t>
      </w:r>
    </w:p>
    <w:p w:rsidR="00BB7DE8" w:rsidRPr="00B96F27" w:rsidRDefault="00BB7DE8" w:rsidP="00BB7DE8">
      <w:pPr>
        <w:rPr>
          <w:sz w:val="22"/>
          <w:szCs w:val="22"/>
        </w:rPr>
      </w:pPr>
      <w:r w:rsidRPr="00B96F27">
        <w:t>and who qualifies for a mortgage forbearance pursuant to section 3</w:t>
      </w:r>
      <w:r>
        <w:t xml:space="preserve"> of this act. </w:t>
      </w:r>
      <w:r w:rsidRPr="00B96F27">
        <w:rPr>
          <w:rFonts w:ascii="Albertus Extra Bold" w:hAnsi="Albertus Extra Bold"/>
          <w:b/>
          <w:vertAlign w:val="superscript"/>
        </w:rPr>
        <w:t>1</w:t>
      </w:r>
      <w:r w:rsidRPr="00B96F27">
        <w:t>“</w:t>
      </w:r>
      <w:r w:rsidRPr="00B96F27">
        <w:rPr>
          <w:color w:val="000000"/>
          <w:u w:val="single"/>
        </w:rPr>
        <w:t xml:space="preserve">Impacted homeowner” shall also include </w:t>
      </w:r>
      <w:r w:rsidRPr="00B96F27">
        <w:rPr>
          <w:u w:val="single"/>
        </w:rPr>
        <w:t>a person who owns and resides in a residential building in which there is rented or offered for rent other dwelling units under either a written or oral lease which building contains no more than four dwelling units.</w:t>
      </w:r>
      <w:r w:rsidRPr="00B96F27">
        <w:rPr>
          <w:rFonts w:ascii="Albertus Extra Bold" w:hAnsi="Albertus Extra Bold"/>
          <w:b/>
          <w:color w:val="000000"/>
          <w:vertAlign w:val="superscript"/>
        </w:rPr>
        <w:t>1</w:t>
      </w:r>
    </w:p>
    <w:p w:rsidR="00BB7DE8" w:rsidRPr="00B96F27" w:rsidRDefault="00BB7DE8" w:rsidP="00BB7DE8">
      <w:r w:rsidRPr="00B96F27">
        <w:tab/>
        <w:t>“Mortgage forbearance” or “forbearance” means a period during which obligations for mortgage principal and interest payments are suspended.</w:t>
      </w:r>
    </w:p>
    <w:p w:rsidR="00BB7DE8" w:rsidRPr="00106AD3" w:rsidRDefault="00BB7DE8" w:rsidP="00BB7DE8">
      <w:pPr>
        <w:rPr>
          <w:rFonts w:ascii="Albertus Extra Bold" w:hAnsi="Albertus Extra Bold"/>
          <w:b/>
          <w:vertAlign w:val="superscript"/>
        </w:rPr>
      </w:pPr>
      <w:r w:rsidRPr="00B96F27">
        <w:tab/>
        <w:t>“Residential property” means a property located in the State rented or owned for residential purposes; provided, however, that residential property shall be limited to the principal residence of a person or a residential health care facility. “Residential property" shall not include: a residence other than a primary residence of a homeowner; residential property taken in whole or in part as collateral for a commercial loan; or a property subject to condemnation or receivership.</w:t>
      </w:r>
    </w:p>
    <w:p w:rsidR="00F20F16" w:rsidRPr="00106AD3" w:rsidRDefault="00F20F16" w:rsidP="00F20F16"/>
    <w:p w:rsidR="00BB7DE8" w:rsidRPr="00B96F27" w:rsidRDefault="00BB7DE8" w:rsidP="00BB7DE8">
      <w:r w:rsidRPr="00B96F27">
        <w:tab/>
        <w:t>3.</w:t>
      </w:r>
      <w:r w:rsidR="00B621B8">
        <w:tab/>
      </w:r>
      <w:r w:rsidRPr="00B96F27">
        <w:t>a.  During the emergency period, regardless of whether or not the residential property of an impacted homeowner is already the subject of a foreclosure proceeding, a creditor shall grant a mortgage forbearance to an impacted homeowner if the impacted homeowner submits a written request to the mortgage servicer certifying the following:</w:t>
      </w:r>
    </w:p>
    <w:p w:rsidR="00BB7DE8" w:rsidRPr="00B96F27" w:rsidRDefault="00BB7DE8" w:rsidP="00BB7DE8">
      <w:r w:rsidRPr="00B96F27">
        <w:tab/>
        <w:t>(1)</w:t>
      </w:r>
      <w:r w:rsidR="00B621B8">
        <w:tab/>
      </w:r>
      <w:r w:rsidRPr="00B96F27">
        <w:t>the impacted homeowner has suffered a negative financial impact resulting from COVID-19 or the Public Health Emergency or State of Emergency declared in response thereto, including but not limited to a financial hardship from a reduction in hours or loss of employment, loss of income or increased costs incurred in necessary child care resulting from the closure of schools or caring for family members who are ill due to COVID-19 or quarantined due to a suspected exposure to COVID-19, or for funeral costs due to COVID-19;</w:t>
      </w:r>
    </w:p>
    <w:p w:rsidR="00BB7DE8" w:rsidRPr="00B96F27" w:rsidRDefault="00BB7DE8" w:rsidP="00BB7DE8">
      <w:r w:rsidRPr="00B96F27">
        <w:tab/>
        <w:t>(2)</w:t>
      </w:r>
      <w:r w:rsidR="00B621B8">
        <w:tab/>
      </w:r>
      <w:r w:rsidRPr="00B96F27">
        <w:t xml:space="preserve">the gross household income of the </w:t>
      </w:r>
      <w:r w:rsidRPr="00B96F27">
        <w:rPr>
          <w:rFonts w:ascii="Albertus Extra Bold" w:hAnsi="Albertus Extra Bold"/>
          <w:b/>
          <w:vertAlign w:val="superscript"/>
        </w:rPr>
        <w:t>1</w:t>
      </w:r>
      <w:r w:rsidRPr="00B96F27">
        <w:rPr>
          <w:u w:val="single"/>
        </w:rPr>
        <w:t>impacted</w:t>
      </w:r>
      <w:r w:rsidRPr="00B96F27">
        <w:rPr>
          <w:rFonts w:ascii="Albertus Extra Bold" w:hAnsi="Albertus Extra Bold"/>
          <w:b/>
          <w:vertAlign w:val="superscript"/>
        </w:rPr>
        <w:t>1</w:t>
      </w:r>
      <w:r w:rsidRPr="00B96F27">
        <w:t xml:space="preserve"> homeowner, after hardship, does not exceed 150 percent of the area median income, as defined for New Jersey in guidelines published annually by the United States Department of Housing and Urban Development, unless this requirement for eligibility is waived by the mortgage lender; and </w:t>
      </w:r>
    </w:p>
    <w:p w:rsidR="00BB7DE8" w:rsidRPr="00B96F27" w:rsidRDefault="00BB7DE8" w:rsidP="00BB7DE8">
      <w:r w:rsidRPr="00B96F27">
        <w:tab/>
        <w:t>(3)</w:t>
      </w:r>
      <w:r w:rsidR="00B621B8">
        <w:tab/>
      </w:r>
      <w:r w:rsidRPr="00B96F27">
        <w:t>if the impacted homeowner possesses one or more bank accounts, those bank accounts collectively contain less than six months’ reserves of the impacted homeowner’s gross household income for 2019.  The creditor may require the impacted homeowner to provide a cash asset certification to demonstrate compliance with this paragraph.</w:t>
      </w:r>
    </w:p>
    <w:p w:rsidR="00BB7DE8" w:rsidRPr="00B96F27" w:rsidRDefault="00BB7DE8" w:rsidP="00BB7DE8">
      <w:r w:rsidRPr="00B96F27">
        <w:lastRenderedPageBreak/>
        <w:tab/>
        <w:t>b.</w:t>
      </w:r>
      <w:r w:rsidR="00B621B8">
        <w:tab/>
      </w:r>
      <w:r w:rsidRPr="00B96F27">
        <w:t xml:space="preserve">Upon receipt of a written request or verbal authorization for a mortgage forbearance from an impacted homeowner pursuant to subsection a. of this section, a creditor shall provide to the impacted homeowner a mortgage forbearance and confirmation of that forbearance in writing. </w:t>
      </w:r>
      <w:r>
        <w:t xml:space="preserve"> </w:t>
      </w:r>
      <w:r w:rsidRPr="00B96F27">
        <w:t xml:space="preserve">No additional documentation shall be required from the impacted homeowner by the creditor other than the written request under subsection a. of this section.  </w:t>
      </w:r>
      <w:r w:rsidRPr="00B96F27">
        <w:rPr>
          <w:rFonts w:ascii="Albertus Extra Bold" w:hAnsi="Albertus Extra Bold"/>
          <w:b/>
          <w:vertAlign w:val="superscript"/>
        </w:rPr>
        <w:t>1</w:t>
      </w:r>
      <w:r w:rsidRPr="00B96F27">
        <w:rPr>
          <w:u w:val="single"/>
        </w:rPr>
        <w:t>A creditor shall have 45 days to approve or deny a request for a forbearance.  If the impacted homeowner is not notified within that time period, the request is deemed approved.  During this period, a creditor shall not institute any foreclosure proceedings and any proceedings already underway shall be stayed</w:t>
      </w:r>
      <w:r>
        <w:rPr>
          <w:u w:val="single"/>
        </w:rPr>
        <w:t xml:space="preserve"> upon notice to the court</w:t>
      </w:r>
      <w:r w:rsidRPr="00B96F27">
        <w:rPr>
          <w:u w:val="single"/>
        </w:rPr>
        <w:t xml:space="preserve">. </w:t>
      </w:r>
      <w:r>
        <w:rPr>
          <w:u w:val="single"/>
        </w:rPr>
        <w:t xml:space="preserve"> </w:t>
      </w:r>
      <w:r w:rsidRPr="00B96F27">
        <w:rPr>
          <w:u w:val="single"/>
        </w:rPr>
        <w:t>If a mortgage forbearance request is denied, the creditor shall provide an explanation of the reasons for the denial, and, if applicable, reasonable time to remedy any deficiencies in the request.</w:t>
      </w:r>
      <w:r w:rsidRPr="00B96F27">
        <w:rPr>
          <w:rFonts w:ascii="Albertus Extra Bold" w:hAnsi="Albertus Extra Bold"/>
          <w:b/>
          <w:vertAlign w:val="superscript"/>
        </w:rPr>
        <w:t>1</w:t>
      </w:r>
      <w:r w:rsidRPr="00B96F27">
        <w:t xml:space="preserve">  The minimum initial mortgage forbearance period of an impacted homeowner shall be </w:t>
      </w:r>
      <w:r>
        <w:rPr>
          <w:rFonts w:ascii="Albertus Extra Bold" w:hAnsi="Albertus Extra Bold"/>
          <w:b/>
          <w:vertAlign w:val="superscript"/>
        </w:rPr>
        <w:t>1</w:t>
      </w:r>
      <w:r w:rsidRPr="008426F6">
        <w:rPr>
          <w:rFonts w:ascii="Albertus Extra Bold" w:hAnsi="Albertus Extra Bold"/>
          <w:b/>
        </w:rPr>
        <w:t>[</w:t>
      </w:r>
      <w:r w:rsidRPr="00B96F27">
        <w:t>90 days</w:t>
      </w:r>
      <w:r w:rsidRPr="008426F6">
        <w:rPr>
          <w:rFonts w:ascii="Albertus Extra Bold" w:hAnsi="Albertus Extra Bold"/>
          <w:b/>
        </w:rPr>
        <w:t>]</w:t>
      </w:r>
      <w:r>
        <w:t xml:space="preserve"> </w:t>
      </w:r>
      <w:r>
        <w:rPr>
          <w:u w:val="single"/>
        </w:rPr>
        <w:t>six months</w:t>
      </w:r>
      <w:r>
        <w:rPr>
          <w:rFonts w:ascii="Albertus Extra Bold" w:hAnsi="Albertus Extra Bold"/>
          <w:b/>
          <w:vertAlign w:val="superscript"/>
        </w:rPr>
        <w:t>1</w:t>
      </w:r>
      <w:r>
        <w:t>.</w:t>
      </w:r>
      <w:r w:rsidRPr="00B96F27">
        <w:t xml:space="preserve">  An impacted homeowner may request, and shall be granted, a subsequent forbearance period of at minimum </w:t>
      </w:r>
      <w:r>
        <w:rPr>
          <w:rFonts w:ascii="Albertus Extra Bold" w:hAnsi="Albertus Extra Bold"/>
          <w:b/>
          <w:vertAlign w:val="superscript"/>
        </w:rPr>
        <w:t>1</w:t>
      </w:r>
      <w:r w:rsidRPr="008426F6">
        <w:rPr>
          <w:rFonts w:ascii="Albertus Extra Bold" w:hAnsi="Albertus Extra Bold"/>
          <w:b/>
        </w:rPr>
        <w:t>[</w:t>
      </w:r>
      <w:r w:rsidRPr="00B96F27">
        <w:t>90 days</w:t>
      </w:r>
      <w:r w:rsidRPr="008426F6">
        <w:rPr>
          <w:rFonts w:ascii="Albertus Extra Bold" w:hAnsi="Albertus Extra Bold"/>
          <w:b/>
        </w:rPr>
        <w:t>]</w:t>
      </w:r>
      <w:r>
        <w:t xml:space="preserve"> </w:t>
      </w:r>
      <w:r>
        <w:rPr>
          <w:u w:val="single"/>
        </w:rPr>
        <w:t>nine months</w:t>
      </w:r>
      <w:r>
        <w:rPr>
          <w:rFonts w:ascii="Albertus Extra Bold" w:hAnsi="Albertus Extra Bold"/>
          <w:b/>
          <w:vertAlign w:val="superscript"/>
        </w:rPr>
        <w:t>1</w:t>
      </w:r>
      <w:r w:rsidRPr="00B96F27">
        <w:t xml:space="preserve">, for a total minimum of </w:t>
      </w:r>
      <w:r>
        <w:rPr>
          <w:rFonts w:ascii="Albertus Extra Bold" w:hAnsi="Albertus Extra Bold"/>
          <w:b/>
          <w:vertAlign w:val="superscript"/>
        </w:rPr>
        <w:t>1</w:t>
      </w:r>
      <w:r w:rsidRPr="008426F6">
        <w:rPr>
          <w:rFonts w:ascii="Albertus Extra Bold" w:hAnsi="Albertus Extra Bold"/>
          <w:b/>
        </w:rPr>
        <w:t>[</w:t>
      </w:r>
      <w:r w:rsidRPr="00B96F27">
        <w:t>180</w:t>
      </w:r>
      <w:r w:rsidRPr="008426F6">
        <w:rPr>
          <w:rFonts w:ascii="Albertus Extra Bold" w:hAnsi="Albertus Extra Bold"/>
          <w:b/>
        </w:rPr>
        <w:t>]</w:t>
      </w:r>
      <w:r>
        <w:t xml:space="preserve"> </w:t>
      </w:r>
      <w:r>
        <w:rPr>
          <w:u w:val="single"/>
        </w:rPr>
        <w:t>15 months</w:t>
      </w:r>
      <w:r>
        <w:rPr>
          <w:rFonts w:ascii="Albertus Extra Bold" w:hAnsi="Albertus Extra Bold"/>
          <w:b/>
          <w:vertAlign w:val="superscript"/>
        </w:rPr>
        <w:t>1</w:t>
      </w:r>
      <w:r w:rsidRPr="00B96F27">
        <w:t xml:space="preserve">.  A creditor shall not be prohibited from offering a more extended forbearance period.  Fees, penalties, or interest, including attorney’s fees beyond the amounts scheduled and calculated as if the mortgagor made all contractual payments on time and in full under the terms of the mortgage contract, shall not be assessed or accrue during and as a result of a mortgage forbearance granted pursuant to this section.  Nothing in this section shall be construed to impact property tax and insurance obligations of an </w:t>
      </w:r>
      <w:r w:rsidRPr="00B96F27">
        <w:rPr>
          <w:rFonts w:ascii="Albertus Extra Bold" w:hAnsi="Albertus Extra Bold"/>
          <w:b/>
          <w:vertAlign w:val="superscript"/>
        </w:rPr>
        <w:t>1</w:t>
      </w:r>
      <w:r w:rsidRPr="00B96F27">
        <w:rPr>
          <w:rFonts w:ascii="Albertus Extra Bold" w:hAnsi="Albertus Extra Bold"/>
          <w:b/>
        </w:rPr>
        <w:t>[</w:t>
      </w:r>
      <w:r w:rsidRPr="00B96F27">
        <w:t>owner</w:t>
      </w:r>
      <w:r w:rsidRPr="00B96F27">
        <w:rPr>
          <w:rFonts w:ascii="Albertus Extra Bold" w:hAnsi="Albertus Extra Bold"/>
          <w:b/>
        </w:rPr>
        <w:t>]</w:t>
      </w:r>
      <w:r w:rsidRPr="00B96F27">
        <w:t xml:space="preserve"> </w:t>
      </w:r>
      <w:r w:rsidRPr="00B96F27">
        <w:rPr>
          <w:u w:val="single"/>
        </w:rPr>
        <w:t>impacted homeowner</w:t>
      </w:r>
      <w:r w:rsidRPr="00B96F27">
        <w:rPr>
          <w:rFonts w:ascii="Albertus Extra Bold" w:hAnsi="Albertus Extra Bold"/>
          <w:b/>
          <w:vertAlign w:val="superscript"/>
        </w:rPr>
        <w:t>1</w:t>
      </w:r>
      <w:r w:rsidRPr="00B96F27">
        <w:t xml:space="preserve"> related to any real property in the State.  A </w:t>
      </w:r>
      <w:r w:rsidRPr="00B96F27">
        <w:rPr>
          <w:rFonts w:ascii="Albertus Extra Bold" w:hAnsi="Albertus Extra Bold"/>
          <w:b/>
          <w:vertAlign w:val="superscript"/>
        </w:rPr>
        <w:t>1</w:t>
      </w:r>
      <w:r w:rsidRPr="00B96F27">
        <w:rPr>
          <w:rFonts w:ascii="Albertus Extra Bold" w:hAnsi="Albertus Extra Bold"/>
          <w:b/>
        </w:rPr>
        <w:t>[</w:t>
      </w:r>
      <w:r w:rsidRPr="00B96F27">
        <w:t>mortgagee</w:t>
      </w:r>
      <w:r w:rsidRPr="00B96F27">
        <w:rPr>
          <w:rFonts w:ascii="Albertus Extra Bold" w:hAnsi="Albertus Extra Bold"/>
          <w:b/>
        </w:rPr>
        <w:t>]</w:t>
      </w:r>
      <w:r w:rsidRPr="00B96F27">
        <w:t xml:space="preserve"> </w:t>
      </w:r>
      <w:r w:rsidRPr="00B96F27">
        <w:rPr>
          <w:u w:val="single"/>
        </w:rPr>
        <w:t>creditor</w:t>
      </w:r>
      <w:r w:rsidRPr="00B96F27">
        <w:rPr>
          <w:rFonts w:ascii="Albertus Extra Bold" w:hAnsi="Albertus Extra Bold"/>
          <w:b/>
          <w:vertAlign w:val="superscript"/>
        </w:rPr>
        <w:t>1</w:t>
      </w:r>
      <w:r w:rsidRPr="00B96F27">
        <w:t xml:space="preserve"> that grants a mortgage forbearance pursuant to this section shall encourage </w:t>
      </w:r>
      <w:r w:rsidRPr="00B96F27">
        <w:rPr>
          <w:rFonts w:ascii="Albertus Extra Bold" w:hAnsi="Albertus Extra Bold"/>
          <w:b/>
          <w:vertAlign w:val="superscript"/>
        </w:rPr>
        <w:t>1</w:t>
      </w:r>
      <w:r w:rsidRPr="00B96F27">
        <w:rPr>
          <w:rFonts w:ascii="Albertus Extra Bold" w:hAnsi="Albertus Extra Bold"/>
          <w:b/>
        </w:rPr>
        <w:t>[</w:t>
      </w:r>
      <w:r w:rsidRPr="00B96F27">
        <w:t>owners</w:t>
      </w:r>
      <w:r w:rsidRPr="00B96F27">
        <w:rPr>
          <w:rFonts w:ascii="Albertus Extra Bold" w:hAnsi="Albertus Extra Bold"/>
          <w:b/>
        </w:rPr>
        <w:t>]</w:t>
      </w:r>
      <w:r w:rsidRPr="00B96F27">
        <w:t xml:space="preserve"> </w:t>
      </w:r>
      <w:r w:rsidRPr="00B96F27">
        <w:rPr>
          <w:u w:val="single"/>
        </w:rPr>
        <w:t>impacted homeowners</w:t>
      </w:r>
      <w:r w:rsidRPr="00B96F27">
        <w:rPr>
          <w:rFonts w:ascii="Albertus Extra Bold" w:hAnsi="Albertus Extra Bold"/>
          <w:b/>
          <w:vertAlign w:val="superscript"/>
        </w:rPr>
        <w:t>1</w:t>
      </w:r>
      <w:r w:rsidRPr="00B96F27">
        <w:t xml:space="preserve"> to seek out United States Department of Housing and Urban Development certified housing counseling and shall provide to the property owner confirmation of the approval of the forbearance, information concerning the process for forbearance, and information on how to request a subsequent forbearance.</w:t>
      </w:r>
    </w:p>
    <w:p w:rsidR="00BB7DE8" w:rsidRPr="00B96F27" w:rsidRDefault="00BB7DE8" w:rsidP="00BB7DE8">
      <w:r w:rsidRPr="00B96F27">
        <w:tab/>
        <w:t>c.</w:t>
      </w:r>
      <w:r w:rsidR="00B621B8">
        <w:tab/>
      </w:r>
      <w:r w:rsidRPr="00B96F27">
        <w:t>(1)  Consistent with the provisions of 15 U.S.C. s.1681s-2(a)(1)(F), a creditor shall not furnish negative mortgage payment information to a debt collector or credit reporting agency related to mortgage payments subject to a mortgage forbearance under this section.</w:t>
      </w:r>
    </w:p>
    <w:p w:rsidR="00BB7DE8" w:rsidRPr="00B96F27" w:rsidRDefault="00BB7DE8" w:rsidP="00BB7DE8">
      <w:r w:rsidRPr="00B96F27">
        <w:tab/>
        <w:t>(2)</w:t>
      </w:r>
      <w:r w:rsidR="00B621B8">
        <w:tab/>
      </w:r>
      <w:r w:rsidRPr="00B96F27">
        <w:t>In response to a complaint to the Attorney General from an impacted homeowner, or on the Attorney General’s independent initiative, the Attorney General may bring an action alleging a creditor has violated the provisions of this subsection.  Upon a finding that non-compliance by a creditor with this section has occurred, a court of competent jurisdiction may:</w:t>
      </w:r>
    </w:p>
    <w:p w:rsidR="00BB7DE8" w:rsidRPr="00B96F27" w:rsidRDefault="00BB7DE8" w:rsidP="00BB7DE8">
      <w:r w:rsidRPr="00B96F27">
        <w:lastRenderedPageBreak/>
        <w:tab/>
        <w:t>(a)</w:t>
      </w:r>
      <w:r w:rsidR="00B621B8">
        <w:tab/>
      </w:r>
      <w:r w:rsidRPr="00B96F27">
        <w:t>order the non-compliant creditor to retract the debt reported to the collection or credit reporting agency, bureau, or data collection facility;</w:t>
      </w:r>
    </w:p>
    <w:p w:rsidR="00BB7DE8" w:rsidRPr="00B96F27" w:rsidRDefault="00BB7DE8" w:rsidP="00BB7DE8">
      <w:r w:rsidRPr="00B96F27">
        <w:tab/>
        <w:t>(b)</w:t>
      </w:r>
      <w:r w:rsidR="00B621B8">
        <w:tab/>
      </w:r>
      <w:r w:rsidRPr="00B96F27">
        <w:t>impose a fine on the non-compliant creditor, not to exceed $5,000 per violation;</w:t>
      </w:r>
    </w:p>
    <w:p w:rsidR="00BB7DE8" w:rsidRPr="00B96F27" w:rsidRDefault="00BB7DE8" w:rsidP="00BB7DE8">
      <w:r w:rsidRPr="00B96F27">
        <w:tab/>
        <w:t>(c)</w:t>
      </w:r>
      <w:r w:rsidR="00B621B8">
        <w:tab/>
      </w:r>
      <w:r w:rsidRPr="00B96F27">
        <w:t>order the non-compliant creditor to pay a reasonable counsel fee in connection with an impacted homeowner whose debt has been reported to a collection or credit reporting agency, bureau, or data collection facility;</w:t>
      </w:r>
    </w:p>
    <w:p w:rsidR="00BB7DE8" w:rsidRPr="00B96F27" w:rsidRDefault="00BB7DE8" w:rsidP="00BB7DE8">
      <w:r w:rsidRPr="00B96F27">
        <w:tab/>
        <w:t>(d)</w:t>
      </w:r>
      <w:r w:rsidR="00B621B8">
        <w:tab/>
      </w:r>
      <w:r w:rsidRPr="00B96F27">
        <w:t>provide a copy of the order immediately at the request of and at no cost to the impacted homeowner;</w:t>
      </w:r>
    </w:p>
    <w:p w:rsidR="00BB7DE8" w:rsidRPr="00B96F27" w:rsidRDefault="00BB7DE8" w:rsidP="00BB7DE8">
      <w:r w:rsidRPr="00B96F27">
        <w:tab/>
        <w:t>(e)</w:t>
      </w:r>
      <w:r w:rsidR="00B621B8">
        <w:tab/>
      </w:r>
      <w:r w:rsidRPr="00B96F27">
        <w:t>order the non-compliant creditor to take such steps as are necessary, within 30 days of the order, to rehabilitate the credit record of an impacted homeowner, with an exact copy provided at no cost to the homeowner of the efforts made in that regard; and</w:t>
      </w:r>
    </w:p>
    <w:p w:rsidR="00BB7DE8" w:rsidRPr="00B96F27" w:rsidRDefault="00BB7DE8" w:rsidP="00BB7DE8">
      <w:r w:rsidRPr="00B96F27">
        <w:tab/>
        <w:t>(f)</w:t>
      </w:r>
      <w:r w:rsidR="00B621B8">
        <w:tab/>
      </w:r>
      <w:r w:rsidRPr="00B96F27">
        <w:t>order the non-compliant creditor to pay an award of damages to the impacted homeowner not to exceed 25 percent of the debt attempted to be collected or reported by the non-compliant creditor to the collection or credit reporting agency, bureau, or data collection facility, the minimum award being $350.</w:t>
      </w:r>
    </w:p>
    <w:p w:rsidR="00BB7DE8" w:rsidRPr="00B96F27" w:rsidRDefault="00BB7DE8" w:rsidP="00BB7DE8">
      <w:r w:rsidRPr="00B96F27">
        <w:tab/>
        <w:t>d.</w:t>
      </w:r>
      <w:r w:rsidR="00B621B8">
        <w:tab/>
      </w:r>
      <w:r w:rsidRPr="00B96F27">
        <w:t xml:space="preserve">During the emergency period and during any period of mortgage forbearance granted pursuant to this section, a creditor shall not, for the purposes of foreclosure of a residential property that has received a forbearance that is not vacant, abandoned or otherwise subject to P.L.2003, c.210 (C.55:19-78 et seq.): </w:t>
      </w:r>
    </w:p>
    <w:p w:rsidR="00BB7DE8" w:rsidRPr="00B96F27" w:rsidRDefault="00BB7DE8" w:rsidP="00BB7DE8">
      <w:r w:rsidRPr="00B96F27">
        <w:tab/>
        <w:t>(1)</w:t>
      </w:r>
      <w:r w:rsidR="00B621B8">
        <w:tab/>
      </w:r>
      <w:r w:rsidRPr="00B96F27">
        <w:t>send an impacted homeowner a notice of intention to foreclose pursuant to section 4 of P.L.1995, c.244 (C.2A:50-56); or</w:t>
      </w:r>
    </w:p>
    <w:p w:rsidR="00BB7DE8" w:rsidRPr="00B96F27" w:rsidRDefault="00BB7DE8" w:rsidP="00BB7DE8">
      <w:r w:rsidRPr="00B96F27">
        <w:tab/>
        <w:t>(2)</w:t>
      </w:r>
      <w:r w:rsidR="00B621B8">
        <w:tab/>
      </w:r>
      <w:r w:rsidRPr="00B96F27">
        <w:t xml:space="preserve">otherwise initiate the foreclosure process.  </w:t>
      </w:r>
    </w:p>
    <w:p w:rsidR="00BB7DE8" w:rsidRPr="00B96F27" w:rsidRDefault="00BB7DE8" w:rsidP="00BB7DE8">
      <w:r w:rsidRPr="00B96F27">
        <w:tab/>
        <w:t>A deadline or time period for action by a party to the foreclosure process for a residential property filed prior to the effective date of this act shall be tolled until the end of the emergency period.</w:t>
      </w:r>
    </w:p>
    <w:p w:rsidR="00BB7DE8" w:rsidRPr="00B96F27" w:rsidRDefault="00BB7DE8" w:rsidP="00BB7DE8">
      <w:r w:rsidRPr="00B96F27">
        <w:tab/>
        <w:t>e.</w:t>
      </w:r>
      <w:r w:rsidR="00B621B8">
        <w:tab/>
      </w:r>
      <w:r w:rsidRPr="00B96F27">
        <w:t xml:space="preserve">Notwithstanding the provisions of any law, rule, or regulation to the contrary, the repayment period of any mortgage subject to the forbearance established pursuant to this section shall be extended by the number of months the forbearance is in effect. The payments not made during the months of the forbearance shall instead be due on a monthly basis during the period constituting an extension of the mortgage, unless the property owner has chosen to make these payments earlier.  During the time of the forbearance, and during the period constituting an extension of the mortgage, all terms and conditions of the original mortgage, except with regard to default and delinquency during forbearance, shall continue without modification, and there shall be no fees assessed, including attorney’s fees, related to the forbearance or late payment, or penalty for early repayment.  An impacted homeowner shall have the option to discontinue the mortgage forbearance at any time at the election of the impacted homeowner upon written consent and a </w:t>
      </w:r>
      <w:r w:rsidRPr="00B96F27">
        <w:lastRenderedPageBreak/>
        <w:t>written statement that they would have the rights provided herein and knowingly waive those rights.</w:t>
      </w:r>
    </w:p>
    <w:p w:rsidR="00BB7DE8" w:rsidRPr="00B96F27" w:rsidRDefault="00BB7DE8" w:rsidP="00BB7DE8">
      <w:r w:rsidRPr="00B96F27">
        <w:tab/>
        <w:t>f.</w:t>
      </w:r>
      <w:r w:rsidR="00B621B8">
        <w:tab/>
      </w:r>
      <w:r w:rsidRPr="00B96F27">
        <w:t xml:space="preserve">An impacted homeowner denied a forbearance under this section by a creditor licensed by the Department of Banking and Insurance may file a complaint with the Department of Banking and Insurance.  The department shall investigate the complaint </w:t>
      </w:r>
      <w:r>
        <w:rPr>
          <w:rFonts w:ascii="Albertus Extra Bold" w:hAnsi="Albertus Extra Bold"/>
          <w:b/>
          <w:vertAlign w:val="superscript"/>
        </w:rPr>
        <w:t>1</w:t>
      </w:r>
      <w:r>
        <w:rPr>
          <w:u w:val="single"/>
        </w:rPr>
        <w:t>, notify the court upon initiation and completion of the investigation,</w:t>
      </w:r>
      <w:r>
        <w:rPr>
          <w:rFonts w:ascii="Albertus Extra Bold" w:hAnsi="Albertus Extra Bold"/>
          <w:b/>
          <w:vertAlign w:val="superscript"/>
        </w:rPr>
        <w:t>1</w:t>
      </w:r>
      <w:r>
        <w:t xml:space="preserve"> </w:t>
      </w:r>
      <w:r w:rsidRPr="00B96F27">
        <w:t xml:space="preserve">and </w:t>
      </w:r>
      <w:r w:rsidRPr="00B96F27">
        <w:rPr>
          <w:rFonts w:ascii="Albertus Extra Bold" w:hAnsi="Albertus Extra Bold"/>
          <w:b/>
          <w:vertAlign w:val="superscript"/>
        </w:rPr>
        <w:t>1</w:t>
      </w:r>
      <w:r w:rsidRPr="00B96F27">
        <w:rPr>
          <w:u w:val="single"/>
        </w:rPr>
        <w:t>issue a ruling within 30 days and</w:t>
      </w:r>
      <w:r w:rsidRPr="00B96F27">
        <w:rPr>
          <w:rFonts w:ascii="Albertus Extra Bold" w:hAnsi="Albertus Extra Bold"/>
          <w:b/>
          <w:vertAlign w:val="superscript"/>
        </w:rPr>
        <w:t>1</w:t>
      </w:r>
      <w:r w:rsidRPr="00B96F27">
        <w:t xml:space="preserve">, if appropriate, </w:t>
      </w:r>
      <w:r w:rsidRPr="00B96F27">
        <w:rPr>
          <w:rFonts w:ascii="Albertus Extra Bold" w:hAnsi="Albertus Extra Bold"/>
          <w:b/>
          <w:vertAlign w:val="superscript"/>
        </w:rPr>
        <w:t>1</w:t>
      </w:r>
      <w:r w:rsidRPr="00B96F27">
        <w:rPr>
          <w:u w:val="single"/>
        </w:rPr>
        <w:t>the department</w:t>
      </w:r>
      <w:r w:rsidRPr="00B96F27">
        <w:rPr>
          <w:rFonts w:ascii="Albertus Extra Bold" w:hAnsi="Albertus Extra Bold"/>
          <w:b/>
          <w:vertAlign w:val="superscript"/>
        </w:rPr>
        <w:t>1</w:t>
      </w:r>
      <w:r w:rsidRPr="00B96F27">
        <w:t xml:space="preserve"> shall order the creditor to grant a forbearance to the impacted homeowner pursuant to this section.  </w:t>
      </w:r>
      <w:r w:rsidRPr="00B96F27">
        <w:rPr>
          <w:rFonts w:ascii="Albertus Extra Bold" w:hAnsi="Albertus Extra Bold"/>
          <w:b/>
          <w:vertAlign w:val="superscript"/>
        </w:rPr>
        <w:t>1</w:t>
      </w:r>
      <w:r w:rsidRPr="00B96F27">
        <w:rPr>
          <w:u w:val="single"/>
        </w:rPr>
        <w:t>During the pendency of any investi</w:t>
      </w:r>
      <w:r>
        <w:rPr>
          <w:u w:val="single"/>
        </w:rPr>
        <w:t>gation, no notice of intent to foreclose shall be sent</w:t>
      </w:r>
      <w:r w:rsidRPr="00B96F27">
        <w:rPr>
          <w:u w:val="single"/>
        </w:rPr>
        <w:t xml:space="preserve"> by any creditor </w:t>
      </w:r>
      <w:r>
        <w:rPr>
          <w:u w:val="single"/>
        </w:rPr>
        <w:t xml:space="preserve">to the impacted homeowner, no foreclosure proceeding shall be initiated </w:t>
      </w:r>
      <w:r w:rsidRPr="00B96F27">
        <w:rPr>
          <w:u w:val="single"/>
        </w:rPr>
        <w:t>against the same impacted homeowner</w:t>
      </w:r>
      <w:r>
        <w:rPr>
          <w:u w:val="single"/>
        </w:rPr>
        <w:t>, and any pending foreclosure shall be stayed</w:t>
      </w:r>
      <w:r w:rsidRPr="00B96F27">
        <w:rPr>
          <w:u w:val="single"/>
        </w:rPr>
        <w:t>.</w:t>
      </w:r>
      <w:r w:rsidRPr="00B96F27">
        <w:rPr>
          <w:rFonts w:ascii="Albertus Extra Bold" w:hAnsi="Albertus Extra Bold"/>
          <w:b/>
          <w:vertAlign w:val="superscript"/>
        </w:rPr>
        <w:t>1</w:t>
      </w:r>
    </w:p>
    <w:p w:rsidR="00BB7DE8" w:rsidRPr="00B96F27" w:rsidRDefault="00BB7DE8" w:rsidP="00BB7DE8">
      <w:r w:rsidRPr="00B96F27">
        <w:tab/>
        <w:t>g.</w:t>
      </w:r>
      <w:r w:rsidR="00B621B8">
        <w:tab/>
      </w:r>
      <w:r w:rsidRPr="00B96F27">
        <w:rPr>
          <w:rFonts w:ascii="Albertus Extra Bold" w:hAnsi="Albertus Extra Bold"/>
          <w:b/>
          <w:vertAlign w:val="superscript"/>
        </w:rPr>
        <w:t>1</w:t>
      </w:r>
      <w:r w:rsidRPr="00B96F27">
        <w:rPr>
          <w:rFonts w:ascii="Albertus Extra Bold" w:hAnsi="Albertus Extra Bold"/>
          <w:b/>
        </w:rPr>
        <w:t>[</w:t>
      </w:r>
      <w:r w:rsidRPr="00B96F27">
        <w:t>(1)</w:t>
      </w:r>
      <w:r w:rsidRPr="00B96F27">
        <w:rPr>
          <w:rFonts w:ascii="Albertus Extra Bold" w:hAnsi="Albertus Extra Bold"/>
          <w:b/>
        </w:rPr>
        <w:t>]</w:t>
      </w:r>
      <w:r w:rsidRPr="00B96F27">
        <w:rPr>
          <w:rFonts w:ascii="Albertus Extra Bold" w:hAnsi="Albertus Extra Bold"/>
          <w:b/>
          <w:vertAlign w:val="superscript"/>
        </w:rPr>
        <w:t>1</w:t>
      </w:r>
      <w:r w:rsidRPr="00B96F27">
        <w:t xml:space="preserve">  To the extent required by the Administrative Director of the Courts, t</w:t>
      </w:r>
      <w:r>
        <w:t xml:space="preserve">he creditor </w:t>
      </w:r>
      <w:r>
        <w:rPr>
          <w:rFonts w:ascii="Albertus Extra Bold" w:hAnsi="Albertus Extra Bold"/>
          <w:b/>
          <w:vertAlign w:val="superscript"/>
        </w:rPr>
        <w:t>1</w:t>
      </w:r>
      <w:r>
        <w:rPr>
          <w:u w:val="single"/>
        </w:rPr>
        <w:t>and the department</w:t>
      </w:r>
      <w:r>
        <w:rPr>
          <w:rFonts w:ascii="Albertus Extra Bold" w:hAnsi="Albertus Extra Bold"/>
          <w:b/>
          <w:vertAlign w:val="superscript"/>
        </w:rPr>
        <w:t>1</w:t>
      </w:r>
      <w:r w:rsidRPr="00B96F27">
        <w:t xml:space="preserve"> shall provide</w:t>
      </w:r>
      <w:r>
        <w:t xml:space="preserve"> </w:t>
      </w:r>
      <w:r>
        <w:rPr>
          <w:rFonts w:ascii="Albertus Extra Bold" w:hAnsi="Albertus Extra Bold"/>
          <w:b/>
          <w:vertAlign w:val="superscript"/>
        </w:rPr>
        <w:t>1</w:t>
      </w:r>
      <w:r>
        <w:rPr>
          <w:u w:val="single"/>
        </w:rPr>
        <w:t>, in accordance with subsections b. and f. of this section,</w:t>
      </w:r>
      <w:r>
        <w:rPr>
          <w:rFonts w:ascii="Albertus Extra Bold" w:hAnsi="Albertus Extra Bold"/>
          <w:b/>
          <w:vertAlign w:val="superscript"/>
        </w:rPr>
        <w:t>1</w:t>
      </w:r>
      <w:r w:rsidRPr="00B96F27">
        <w:t xml:space="preserve"> the docket numbers, party names, and property addresses as to any pending court actions involving any </w:t>
      </w:r>
      <w:r>
        <w:rPr>
          <w:rFonts w:ascii="Albertus Extra Bold" w:hAnsi="Albertus Extra Bold"/>
          <w:b/>
          <w:vertAlign w:val="superscript"/>
        </w:rPr>
        <w:t>1</w:t>
      </w:r>
      <w:r w:rsidRPr="00A121BC">
        <w:rPr>
          <w:rFonts w:ascii="Albertus Extra Bold" w:hAnsi="Albertus Extra Bold"/>
          <w:b/>
        </w:rPr>
        <w:t>[</w:t>
      </w:r>
      <w:r w:rsidRPr="00B96F27">
        <w:t>property granted</w:t>
      </w:r>
      <w:r w:rsidRPr="00E35191">
        <w:rPr>
          <w:rFonts w:ascii="Albertus Extra Bold" w:hAnsi="Albertus Extra Bold"/>
          <w:b/>
        </w:rPr>
        <w:t>]</w:t>
      </w:r>
      <w:r w:rsidRPr="00B96F27">
        <w:t xml:space="preserve"> </w:t>
      </w:r>
      <w:r>
        <w:rPr>
          <w:u w:val="single"/>
        </w:rPr>
        <w:t>impacted homeowner requesting or denied</w:t>
      </w:r>
      <w:r>
        <w:rPr>
          <w:rFonts w:ascii="Albertus Extra Bold" w:hAnsi="Albertus Extra Bold"/>
          <w:b/>
          <w:vertAlign w:val="superscript"/>
        </w:rPr>
        <w:t>1</w:t>
      </w:r>
      <w:r>
        <w:t xml:space="preserve"> </w:t>
      </w:r>
      <w:r w:rsidRPr="00B96F27">
        <w:t xml:space="preserve">a forbearance to the Superior Court Clerk’s Office at least monthly.  </w:t>
      </w:r>
    </w:p>
    <w:p w:rsidR="00BB7DE8" w:rsidRPr="00B96F27" w:rsidRDefault="00BB7DE8" w:rsidP="00BB7DE8">
      <w:r w:rsidRPr="00B96F27">
        <w:tab/>
      </w:r>
      <w:r w:rsidRPr="00B96F27">
        <w:rPr>
          <w:rFonts w:ascii="Albertus Extra Bold" w:hAnsi="Albertus Extra Bold"/>
          <w:b/>
          <w:vertAlign w:val="superscript"/>
        </w:rPr>
        <w:t>1</w:t>
      </w:r>
      <w:r w:rsidRPr="00B96F27">
        <w:rPr>
          <w:rFonts w:ascii="Albertus Extra Bold" w:hAnsi="Albertus Extra Bold"/>
          <w:b/>
        </w:rPr>
        <w:t>[</w:t>
      </w:r>
      <w:r w:rsidRPr="00B96F27">
        <w:t>(2)  The creditor shall submit information on all forbearances that the creditor has provided within the State to the Department of Banking and Insurance on a monthly basis, or on any alternative schedule directed by the Department of Banking and Insurance, after removing all personally-identifiable information.  This information shall be submitted in accordance with any specifications required by the Department of Banking and Insurance, and, to the extent required by the Department of Banking and Insurance, shall be deemed to be government records and subject to the provisions of P.L.1963, c.73 (C.47:1A-1 et seq.), commonly known as the open public records act.</w:t>
      </w:r>
      <w:r w:rsidRPr="00B96F27">
        <w:rPr>
          <w:rFonts w:ascii="Albertus Extra Bold" w:hAnsi="Albertus Extra Bold"/>
          <w:b/>
        </w:rPr>
        <w:t>]</w:t>
      </w:r>
      <w:r w:rsidRPr="00B96F27">
        <w:rPr>
          <w:rFonts w:ascii="Albertus Extra Bold" w:hAnsi="Albertus Extra Bold"/>
          <w:b/>
          <w:vertAlign w:val="superscript"/>
        </w:rPr>
        <w:t>1</w:t>
      </w:r>
    </w:p>
    <w:p w:rsidR="00BB7DE8" w:rsidRPr="00B96F27" w:rsidRDefault="00BB7DE8" w:rsidP="00BB7DE8">
      <w:r w:rsidRPr="00B96F27">
        <w:tab/>
        <w:t>h.</w:t>
      </w:r>
      <w:r w:rsidR="00B621B8">
        <w:tab/>
      </w:r>
      <w:r w:rsidRPr="00B96F27">
        <w:t>Notwithstanding anything to the contrary in this section, to the extent that the application of any provision of this section would conflict with federal laws and guidelines, such provision shall not apply to, and does not affect, any mortgage loans made, insured, or securitized by any agency or instrumentality of the United States, any government sponsored enterprise, or a federal home loan bank, or the rights and obligations of any lender, issuer, servicer or trustee of such obligations, including servicers for the Government National Mortgage Association or other loans governed by the federal “Coronavirus Aid, Relief, and Economic Security Act,” Pub.L.116-136.</w:t>
      </w:r>
    </w:p>
    <w:p w:rsidR="00BB7DE8" w:rsidRPr="00B96F27" w:rsidRDefault="00BB7DE8" w:rsidP="00BB7DE8">
      <w:r w:rsidRPr="00B96F27">
        <w:tab/>
        <w:t>i.</w:t>
      </w:r>
      <w:r w:rsidR="00B621B8">
        <w:tab/>
      </w:r>
      <w:r w:rsidRPr="00B96F27">
        <w:t>It shall be an unlawful discrimination in violation of the “New Jersey Law Against Discrimination,” P.L.1945, c.169 (C.10:5-1</w:t>
      </w:r>
      <w:r w:rsidR="00B621B8">
        <w:t> </w:t>
      </w:r>
      <w:r w:rsidRPr="00B96F27">
        <w:t>et</w:t>
      </w:r>
      <w:r w:rsidR="00B621B8">
        <w:t> </w:t>
      </w:r>
      <w:r w:rsidRPr="00B96F27">
        <w:t>seq.)</w:t>
      </w:r>
      <w:r w:rsidR="00B621B8">
        <w:t> </w:t>
      </w:r>
      <w:r w:rsidRPr="00B96F27">
        <w:t xml:space="preserve">for a creditor to discriminate in application of the </w:t>
      </w:r>
      <w:r w:rsidRPr="00B96F27">
        <w:lastRenderedPageBreak/>
        <w:t>provisions of this section on any basis protected by subsection g. of section 11 of P.L.1945, c.169 (C.10:5-12).</w:t>
      </w:r>
    </w:p>
    <w:p w:rsidR="00BB7DE8" w:rsidRPr="00B96F27" w:rsidRDefault="00BB7DE8" w:rsidP="00BB7DE8">
      <w:r w:rsidRPr="00B96F27">
        <w:tab/>
        <w:t>j.</w:t>
      </w:r>
      <w:r w:rsidR="00B621B8">
        <w:tab/>
      </w:r>
      <w:r w:rsidRPr="00B96F27">
        <w:t>This section shall not be construed to prohibit a creditor from considering an oral or electronic request for a mortgage forbearance instead of a written request submitted pursuant to subsection a. of this section.</w:t>
      </w:r>
    </w:p>
    <w:p w:rsidR="00BB7DE8" w:rsidRPr="00B96F27" w:rsidRDefault="00BB7DE8" w:rsidP="00BB7DE8">
      <w:pPr>
        <w:rPr>
          <w:u w:val="single"/>
        </w:rPr>
      </w:pPr>
      <w:r w:rsidRPr="00B96F27">
        <w:tab/>
      </w:r>
      <w:r w:rsidRPr="00B96F27">
        <w:rPr>
          <w:rFonts w:ascii="Albertus Extra Bold" w:hAnsi="Albertus Extra Bold"/>
          <w:b/>
          <w:vertAlign w:val="superscript"/>
        </w:rPr>
        <w:t>1</w:t>
      </w:r>
      <w:r w:rsidRPr="00B96F27">
        <w:rPr>
          <w:u w:val="single"/>
        </w:rPr>
        <w:t>k.</w:t>
      </w:r>
      <w:r w:rsidR="00B621B8">
        <w:rPr>
          <w:u w:val="single"/>
        </w:rPr>
        <w:tab/>
      </w:r>
      <w:r w:rsidRPr="00B96F27">
        <w:rPr>
          <w:u w:val="single"/>
        </w:rPr>
        <w:t>The Department of Banking and Insurance shall post information about the forbearance program on the department’s Internet website.  Within 60 days of the enactment of this act, the Department of Banking and Insurance shall provide notice of the enactment of this act to known creditors and develop a form for creditors to use, in the five most common languages spoken in the State, to notify mortgagors of their rights under this act.  Within 90 days of the enactment of this act, creditors shall provide such notice to mortgagors about the right of impacted homeowners to file for a forbearance.</w:t>
      </w:r>
    </w:p>
    <w:p w:rsidR="00BB7DE8" w:rsidRDefault="00BB7DE8" w:rsidP="00BB7DE8">
      <w:r w:rsidRPr="00B96F27">
        <w:tab/>
      </w:r>
      <w:r>
        <w:rPr>
          <w:u w:val="single"/>
        </w:rPr>
        <w:t>l.</w:t>
      </w:r>
      <w:r>
        <w:rPr>
          <w:u w:val="single"/>
        </w:rPr>
        <w:tab/>
      </w:r>
      <w:r w:rsidRPr="00B96F27">
        <w:rPr>
          <w:u w:val="single"/>
        </w:rPr>
        <w:t>Nothing in this act shall be construed as limiting the ability of a creditor and impacted homeowner to participate in a mediation process sponsored by the Administrative Office of the Courts in accordance with the requirements of any such mediation program.</w:t>
      </w:r>
      <w:r w:rsidRPr="00B96F27">
        <w:rPr>
          <w:rFonts w:ascii="Albertus Extra Bold" w:hAnsi="Albertus Extra Bold"/>
          <w:b/>
          <w:vertAlign w:val="superscript"/>
        </w:rPr>
        <w:t>1</w:t>
      </w:r>
    </w:p>
    <w:p w:rsidR="00F20F16" w:rsidRPr="00D71D68" w:rsidRDefault="00F20F16" w:rsidP="00F20F16"/>
    <w:p w:rsidR="00F20F16" w:rsidRPr="00AA7880" w:rsidRDefault="00F20F16" w:rsidP="00F20F16">
      <w:r>
        <w:tab/>
        <w:t>4.</w:t>
      </w:r>
      <w:r>
        <w:tab/>
        <w:t xml:space="preserve">This act shall take effect </w:t>
      </w:r>
      <w:r w:rsidRPr="00B63C2D">
        <w:t xml:space="preserve">immediately </w:t>
      </w:r>
      <w:r w:rsidRPr="000A1E0C">
        <w:rPr>
          <w:shd w:val="clear" w:color="auto" w:fill="FFFFFF" w:themeFill="background1"/>
        </w:rPr>
        <w:t>and shall apply retroactively to mortgage payments missed subsequent to March 9, 2020.</w:t>
      </w:r>
    </w:p>
    <w:sectPr w:rsidR="00F20F16" w:rsidRPr="00AA7880" w:rsidSect="00DF1E7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9E1" w:rsidRDefault="003A79E1">
      <w:r>
        <w:separator/>
      </w:r>
    </w:p>
  </w:endnote>
  <w:endnote w:type="continuationSeparator" w:id="0">
    <w:p w:rsidR="003A79E1" w:rsidRDefault="003A7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8BF" w:rsidRDefault="005328A6" w:rsidP="005328A6">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DE8" w:rsidRPr="00921C91" w:rsidRDefault="00BB7D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7DE8" w:rsidRPr="00921C91" w:rsidRDefault="00BB7DE8">
    <w:pPr>
      <w:pStyle w:val="Footer"/>
      <w:rPr>
        <w:szCs w:val="18"/>
      </w:rPr>
    </w:pPr>
  </w:p>
  <w:p w:rsidR="00BB7DE8" w:rsidRPr="00921C91" w:rsidRDefault="00BB7D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7DE8" w:rsidRDefault="00BB7DE8" w:rsidP="00686AEB">
    <w:pPr>
      <w:pStyle w:val="Footer"/>
    </w:pPr>
    <w:r>
      <w:tab/>
      <w:t>Matter enclosed in superscript numerals has been adopted as follows:</w:t>
    </w:r>
  </w:p>
  <w:p w:rsidR="00BB7DE8" w:rsidRDefault="00BB7DE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June 2, 2021.</w:t>
    </w:r>
  </w:p>
  <w:p w:rsidR="00BB7DE8" w:rsidRPr="00BB7DE8" w:rsidRDefault="00BB7DE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9E1" w:rsidRDefault="003A79E1">
      <w:r>
        <w:separator/>
      </w:r>
    </w:p>
  </w:footnote>
  <w:footnote w:type="continuationSeparator" w:id="0">
    <w:p w:rsidR="003A79E1" w:rsidRDefault="003A7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17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1E74" w:rsidRDefault="00DF1E74" w:rsidP="00DF1E74">
    <w:pPr>
      <w:pStyle w:val="bpuHeadSpon"/>
    </w:pPr>
    <w:r w:rsidRPr="00DF1E74">
      <w:rPr>
        <w:rStyle w:val="bpuHeadSponChar"/>
      </w:rPr>
      <w:t>A5684</w:t>
    </w:r>
    <w:r>
      <w:t xml:space="preserve"> </w:t>
    </w:r>
    <w:r w:rsidR="00BB7DE8">
      <w:t xml:space="preserve">[1R] </w:t>
    </w:r>
    <w:r>
      <w:t>TIMBERLAKE</w:t>
    </w:r>
    <w:r w:rsidR="003928BF">
      <w:t>, JASEY</w:t>
    </w:r>
  </w:p>
  <w:p w:rsidR="00DF1E74" w:rsidRDefault="00DF1E74" w:rsidP="00DF1E74">
    <w:pPr>
      <w:pStyle w:val="bpuHeadSpon"/>
    </w:pPr>
    <w:r>
      <w:fldChar w:fldCharType="begin"/>
    </w:r>
    <w:r>
      <w:instrText xml:space="preserve"> PAGE  \* MERGEFORMAT </w:instrText>
    </w:r>
    <w:r>
      <w:fldChar w:fldCharType="separate"/>
    </w:r>
    <w:r w:rsidR="00377F94">
      <w:rPr>
        <w:noProof/>
      </w:rPr>
      <w:t>7</w:t>
    </w:r>
    <w:r>
      <w:fldChar w:fldCharType="end"/>
    </w:r>
  </w:p>
  <w:p w:rsidR="00DF1E74" w:rsidRDefault="00DF1E74" w:rsidP="00DF1E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1E74" w:rsidRDefault="00DF1E74" w:rsidP="00DF1E74">
    <w:pPr>
      <w:pStyle w:val="bpuHeadSpon"/>
    </w:pPr>
    <w:r w:rsidRPr="00DF1E74">
      <w:rPr>
        <w:rStyle w:val="bpuHeadSponChar"/>
      </w:rPr>
      <w:t>A5684</w:t>
    </w:r>
    <w:r>
      <w:t xml:space="preserve"> </w:t>
    </w:r>
    <w:r w:rsidR="00BB7DE8">
      <w:t xml:space="preserve">[1R] </w:t>
    </w:r>
    <w:r>
      <w:t>TIMBERLAKE</w:t>
    </w:r>
    <w:r w:rsidR="003928BF">
      <w:t>, JASEY</w:t>
    </w:r>
  </w:p>
  <w:p w:rsidR="00DF1E74" w:rsidRDefault="00DF1E74" w:rsidP="00DF1E74">
    <w:pPr>
      <w:pStyle w:val="bpuHeadSpon"/>
    </w:pPr>
    <w:r>
      <w:fldChar w:fldCharType="begin"/>
    </w:r>
    <w:r>
      <w:instrText xml:space="preserve"> PAGE  \* MERGEFORMAT </w:instrText>
    </w:r>
    <w:r>
      <w:fldChar w:fldCharType="separate"/>
    </w:r>
    <w:r w:rsidR="00377F94">
      <w:rPr>
        <w:noProof/>
      </w:rPr>
      <w:t>2</w:t>
    </w:r>
    <w:r>
      <w:fldChar w:fldCharType="end"/>
    </w:r>
  </w:p>
  <w:p w:rsidR="00DF1E74" w:rsidRDefault="00DF1E74" w:rsidP="00DF1E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E1"/>
    <w:rsid w:val="000051BD"/>
    <w:rsid w:val="000160A5"/>
    <w:rsid w:val="0002335B"/>
    <w:rsid w:val="0003549A"/>
    <w:rsid w:val="000367AE"/>
    <w:rsid w:val="00043B22"/>
    <w:rsid w:val="0005175D"/>
    <w:rsid w:val="00054975"/>
    <w:rsid w:val="00057D20"/>
    <w:rsid w:val="0006197C"/>
    <w:rsid w:val="0006281F"/>
    <w:rsid w:val="0008141C"/>
    <w:rsid w:val="00092F6B"/>
    <w:rsid w:val="00094A55"/>
    <w:rsid w:val="000A44A7"/>
    <w:rsid w:val="000B1054"/>
    <w:rsid w:val="000B3411"/>
    <w:rsid w:val="000B78F6"/>
    <w:rsid w:val="000C054C"/>
    <w:rsid w:val="000C12C2"/>
    <w:rsid w:val="000C5038"/>
    <w:rsid w:val="000D11AF"/>
    <w:rsid w:val="000D51B5"/>
    <w:rsid w:val="000D6255"/>
    <w:rsid w:val="000D6262"/>
    <w:rsid w:val="000D7B4A"/>
    <w:rsid w:val="000E1888"/>
    <w:rsid w:val="000E4006"/>
    <w:rsid w:val="000F3DA2"/>
    <w:rsid w:val="000F5D1A"/>
    <w:rsid w:val="000F5FDE"/>
    <w:rsid w:val="000F7466"/>
    <w:rsid w:val="0013000E"/>
    <w:rsid w:val="00133F81"/>
    <w:rsid w:val="00135943"/>
    <w:rsid w:val="00140E5E"/>
    <w:rsid w:val="00144E88"/>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F94"/>
    <w:rsid w:val="00382F1F"/>
    <w:rsid w:val="003840E5"/>
    <w:rsid w:val="00391DA4"/>
    <w:rsid w:val="003928BF"/>
    <w:rsid w:val="003A3C64"/>
    <w:rsid w:val="003A3F83"/>
    <w:rsid w:val="003A79E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931"/>
    <w:rsid w:val="00484144"/>
    <w:rsid w:val="00484C19"/>
    <w:rsid w:val="00485866"/>
    <w:rsid w:val="00492076"/>
    <w:rsid w:val="00493B1D"/>
    <w:rsid w:val="00494EF6"/>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8A6"/>
    <w:rsid w:val="00532A32"/>
    <w:rsid w:val="00540B0B"/>
    <w:rsid w:val="0054460F"/>
    <w:rsid w:val="005536CD"/>
    <w:rsid w:val="00554051"/>
    <w:rsid w:val="00557240"/>
    <w:rsid w:val="005629A4"/>
    <w:rsid w:val="005651F3"/>
    <w:rsid w:val="00567393"/>
    <w:rsid w:val="00572184"/>
    <w:rsid w:val="0057706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471"/>
    <w:rsid w:val="00626239"/>
    <w:rsid w:val="00635316"/>
    <w:rsid w:val="00635449"/>
    <w:rsid w:val="006378C5"/>
    <w:rsid w:val="00645E6A"/>
    <w:rsid w:val="00665CBC"/>
    <w:rsid w:val="0066726D"/>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7693"/>
    <w:rsid w:val="007C0CA9"/>
    <w:rsid w:val="007C0E14"/>
    <w:rsid w:val="007C7DE4"/>
    <w:rsid w:val="007D40CB"/>
    <w:rsid w:val="007D5796"/>
    <w:rsid w:val="007D59C0"/>
    <w:rsid w:val="007D7D9C"/>
    <w:rsid w:val="007E7E48"/>
    <w:rsid w:val="007F26B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94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011"/>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1B8"/>
    <w:rsid w:val="00B6342D"/>
    <w:rsid w:val="00B7133F"/>
    <w:rsid w:val="00B726BD"/>
    <w:rsid w:val="00B732BC"/>
    <w:rsid w:val="00B90E33"/>
    <w:rsid w:val="00B9676B"/>
    <w:rsid w:val="00BA0ECD"/>
    <w:rsid w:val="00BA2EA5"/>
    <w:rsid w:val="00BA364B"/>
    <w:rsid w:val="00BB1190"/>
    <w:rsid w:val="00BB31D0"/>
    <w:rsid w:val="00BB3A11"/>
    <w:rsid w:val="00BB4DDB"/>
    <w:rsid w:val="00BB5D79"/>
    <w:rsid w:val="00BB5F02"/>
    <w:rsid w:val="00BB7DE8"/>
    <w:rsid w:val="00BC724D"/>
    <w:rsid w:val="00BC7892"/>
    <w:rsid w:val="00BE24D6"/>
    <w:rsid w:val="00BE7EFA"/>
    <w:rsid w:val="00BF06AD"/>
    <w:rsid w:val="00BF2C67"/>
    <w:rsid w:val="00C04F4D"/>
    <w:rsid w:val="00C12E48"/>
    <w:rsid w:val="00C13D14"/>
    <w:rsid w:val="00C15F53"/>
    <w:rsid w:val="00C23F09"/>
    <w:rsid w:val="00C25356"/>
    <w:rsid w:val="00C328D0"/>
    <w:rsid w:val="00C42FC7"/>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078"/>
    <w:rsid w:val="00CA037D"/>
    <w:rsid w:val="00CA0837"/>
    <w:rsid w:val="00CA2442"/>
    <w:rsid w:val="00CA4725"/>
    <w:rsid w:val="00CB6246"/>
    <w:rsid w:val="00CC0A17"/>
    <w:rsid w:val="00CC660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E74"/>
    <w:rsid w:val="00E01B71"/>
    <w:rsid w:val="00E05CC9"/>
    <w:rsid w:val="00E15573"/>
    <w:rsid w:val="00E175BA"/>
    <w:rsid w:val="00E25A5B"/>
    <w:rsid w:val="00E373C7"/>
    <w:rsid w:val="00E4267B"/>
    <w:rsid w:val="00E42F13"/>
    <w:rsid w:val="00E43CA1"/>
    <w:rsid w:val="00E452DF"/>
    <w:rsid w:val="00E543CF"/>
    <w:rsid w:val="00E546FD"/>
    <w:rsid w:val="00E56B9D"/>
    <w:rsid w:val="00E608F1"/>
    <w:rsid w:val="00E611B9"/>
    <w:rsid w:val="00E7144F"/>
    <w:rsid w:val="00E73D74"/>
    <w:rsid w:val="00E76A79"/>
    <w:rsid w:val="00E80692"/>
    <w:rsid w:val="00E80C24"/>
    <w:rsid w:val="00E93836"/>
    <w:rsid w:val="00EA7C16"/>
    <w:rsid w:val="00EC5281"/>
    <w:rsid w:val="00EC791D"/>
    <w:rsid w:val="00EC7985"/>
    <w:rsid w:val="00EC7CA6"/>
    <w:rsid w:val="00ED3C5D"/>
    <w:rsid w:val="00ED4553"/>
    <w:rsid w:val="00F00D08"/>
    <w:rsid w:val="00F1350D"/>
    <w:rsid w:val="00F15583"/>
    <w:rsid w:val="00F17C18"/>
    <w:rsid w:val="00F200EE"/>
    <w:rsid w:val="00F20F16"/>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BE0"/>
    <w:rsid w:val="00FA0AFC"/>
    <w:rsid w:val="00FA1C82"/>
    <w:rsid w:val="00FA2ED1"/>
    <w:rsid w:val="00FA4A52"/>
    <w:rsid w:val="00FB25DD"/>
    <w:rsid w:val="00FB4045"/>
    <w:rsid w:val="00FB4D8E"/>
    <w:rsid w:val="00FC027C"/>
    <w:rsid w:val="00FC0D0A"/>
    <w:rsid w:val="00FC1B0B"/>
    <w:rsid w:val="00FD2F97"/>
    <w:rsid w:val="00FE098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D79E00"/>
  <w15:docId w15:val="{E3F451B8-1725-4FF1-8F11-9058F6D73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94B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4BE0"/>
    <w:rPr>
      <w:rFonts w:ascii="Segoe UI" w:hAnsi="Segoe UI" w:cs="Segoe UI"/>
      <w:spacing w:val="4"/>
      <w:sz w:val="18"/>
      <w:szCs w:val="18"/>
    </w:rPr>
  </w:style>
  <w:style w:type="character" w:styleId="LineNumber">
    <w:name w:val="line number"/>
    <w:basedOn w:val="DefaultParagraphFont"/>
    <w:semiHidden/>
    <w:unhideWhenUsed/>
    <w:rsid w:val="00DF1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5686D-5CB6-4493-9809-EEC4112F6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2400</Words>
  <Characters>13010</Characters>
  <Application>Microsoft Office Word</Application>
  <DocSecurity>0</DocSecurity>
  <Lines>288</Lines>
  <Paragraphs>61</Paragraphs>
  <ScaleCrop>false</ScaleCrop>
  <HeadingPairs>
    <vt:vector size="2" baseType="variant">
      <vt:variant>
        <vt:lpstr>Title</vt:lpstr>
      </vt:variant>
      <vt:variant>
        <vt:i4>1</vt:i4>
      </vt:variant>
    </vt:vector>
  </HeadingPairs>
  <TitlesOfParts>
    <vt:vector size="1" baseType="lpstr">
      <vt:lpstr>A5684 1R</vt:lpstr>
    </vt:vector>
  </TitlesOfParts>
  <Manager>R224</Manager>
  <Company>NJ Office of Legislative Services</Company>
  <LinksUpToDate>false</LinksUpToDate>
  <CharactersWithSpaces>15433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A5684 1R</dc:title>
  <dc:subject/>
  <dc:creator>Assemblywoman  TIMBERLAKE</dc:creator>
  <cp:keywords>A5684|7|LG |264|320|297|!||</cp:keywords>
  <dc:description>INTRODUCED MAY 12, 2021_x000d_
Amended 6/2/21</dc:description>
  <cp:lastModifiedBy>Franks, Denise</cp:lastModifiedBy>
  <cp:revision>2</cp:revision>
  <cp:lastPrinted>2021-06-29T19:38:00Z</cp:lastPrinted>
  <dcterms:created xsi:type="dcterms:W3CDTF">2021-06-29T19:38:00Z</dcterms:created>
  <dcterms:modified xsi:type="dcterms:W3CDTF">2021-06-29T19:38:00Z</dcterms:modified>
  <cp:category>ss.1-3: T&amp;E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