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Pr="00407C9E" w:rsidRDefault="009350B5" w:rsidP="00407C9E">
      <w:pPr>
        <w:pStyle w:val="NoteOrEstimate"/>
      </w:pPr>
      <w:r>
        <w:t>LEGISLATIVE FISCAL ESTIMATE</w:t>
      </w:r>
    </w:p>
    <w:p w:rsidR="003C5892" w:rsidRDefault="00283EFC" w:rsidP="002D7863">
      <w:pPr>
        <w:pStyle w:val="BillNo"/>
        <w:tabs>
          <w:tab w:val="left" w:pos="360"/>
          <w:tab w:val="left" w:pos="720"/>
          <w:tab w:val="left" w:pos="1440"/>
          <w:tab w:val="left" w:pos="2160"/>
          <w:tab w:val="left" w:pos="2880"/>
          <w:tab w:val="left" w:pos="3600"/>
          <w:tab w:val="left" w:pos="4320"/>
          <w:tab w:val="left" w:pos="5040"/>
        </w:tabs>
      </w:pPr>
      <w:r>
        <w:t>ASSEMBLY</w:t>
      </w:r>
      <w:r w:rsidR="009350B5">
        <w:t>,</w:t>
      </w:r>
      <w:r w:rsidR="003C5892">
        <w:t xml:space="preserve"> No. </w:t>
      </w:r>
      <w:r w:rsidR="00F31A20">
        <w:t>5784</w:t>
      </w:r>
    </w:p>
    <w:p w:rsidR="003C5892" w:rsidRPr="00353325" w:rsidRDefault="003C5892" w:rsidP="00353325">
      <w:pPr>
        <w:pStyle w:val="StateFormat"/>
      </w:pPr>
      <w:r>
        <w:t>STATE OF NEW JERSEY</w:t>
      </w:r>
    </w:p>
    <w:p w:rsidR="00353325" w:rsidRDefault="00936610" w:rsidP="00936610">
      <w:pPr>
        <w:pStyle w:val="BillNo"/>
      </w:pPr>
      <w:r>
        <w:t>219th LEGISLATURE</w:t>
      </w:r>
    </w:p>
    <w:p w:rsidR="00353325" w:rsidRDefault="00353325" w:rsidP="00353325"/>
    <w:p w:rsidR="00936610" w:rsidRDefault="00936610" w:rsidP="00936610">
      <w:pPr>
        <w:jc w:val="center"/>
      </w:pPr>
      <w:r>
        <w:t>DATED: JUNE 29, 2021</w:t>
      </w:r>
    </w:p>
    <w:p w:rsidR="00936610" w:rsidRDefault="00936610" w:rsidP="00353325"/>
    <w:p w:rsidR="00936610" w:rsidRDefault="00936610"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660B35" w:rsidTr="00660B35">
        <w:trPr>
          <w:trHeight w:val="576"/>
        </w:trPr>
        <w:tc>
          <w:tcPr>
            <w:tcW w:w="2316" w:type="dxa"/>
          </w:tcPr>
          <w:p w:rsidR="00660B35" w:rsidRPr="003C5892" w:rsidRDefault="00660B35" w:rsidP="00660B35">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6929" w:type="dxa"/>
          </w:tcPr>
          <w:p w:rsidR="00660B35" w:rsidRPr="0068043B" w:rsidRDefault="00660B35" w:rsidP="00660B35">
            <w:r>
              <w:t>Creates sexual assault prevention and response program and coordinator in DMVA.</w:t>
            </w:r>
          </w:p>
        </w:tc>
      </w:tr>
      <w:tr w:rsidR="003C5892" w:rsidTr="00660B35">
        <w:trPr>
          <w:trHeight w:val="576"/>
        </w:trPr>
        <w:tc>
          <w:tcPr>
            <w:tcW w:w="2316"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6929" w:type="dxa"/>
          </w:tcPr>
          <w:p w:rsidR="003C5892" w:rsidRPr="0068043B" w:rsidRDefault="00660B35" w:rsidP="00660B35">
            <w:r>
              <w:t xml:space="preserve">Annual State General Fund expenditure increase.  </w:t>
            </w:r>
          </w:p>
        </w:tc>
      </w:tr>
      <w:tr w:rsidR="003C5892" w:rsidTr="00660B35">
        <w:trPr>
          <w:trHeight w:val="576"/>
        </w:trPr>
        <w:tc>
          <w:tcPr>
            <w:tcW w:w="2316"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6929" w:type="dxa"/>
          </w:tcPr>
          <w:p w:rsidR="003C5892" w:rsidRPr="0068043B" w:rsidRDefault="0068043B" w:rsidP="00933C22">
            <w:r w:rsidRPr="0068043B">
              <w:t>Department of Military and Veterans Affairs</w:t>
            </w:r>
            <w:r w:rsidR="00387576">
              <w:t xml:space="preserve">; Department of Law and Public </w:t>
            </w:r>
            <w:r w:rsidR="00682640">
              <w:t>Safety</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9375" w:type="dxa"/>
        <w:tblInd w:w="100" w:type="dxa"/>
        <w:tblLayout w:type="fixed"/>
        <w:tblCellMar>
          <w:left w:w="100" w:type="dxa"/>
          <w:right w:w="100" w:type="dxa"/>
        </w:tblCellMar>
        <w:tblLook w:val="0000" w:firstRow="0" w:lastRow="0" w:firstColumn="0" w:lastColumn="0" w:noHBand="0" w:noVBand="0"/>
      </w:tblPr>
      <w:tblGrid>
        <w:gridCol w:w="2330"/>
        <w:gridCol w:w="2430"/>
        <w:gridCol w:w="2105"/>
        <w:gridCol w:w="2495"/>
        <w:gridCol w:w="15"/>
      </w:tblGrid>
      <w:tr w:rsidR="00C75246" w:rsidTr="00387576">
        <w:trPr>
          <w:trHeight w:val="410"/>
        </w:trPr>
        <w:tc>
          <w:tcPr>
            <w:tcW w:w="9375" w:type="dxa"/>
            <w:gridSpan w:val="5"/>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C75246" w:rsidTr="00387576">
        <w:trPr>
          <w:gridAfter w:val="1"/>
          <w:wAfter w:w="15" w:type="dxa"/>
          <w:trHeight w:val="410"/>
        </w:trPr>
        <w:tc>
          <w:tcPr>
            <w:tcW w:w="2330" w:type="dxa"/>
            <w:tcBorders>
              <w:top w:val="single" w:sz="6" w:space="0" w:color="auto"/>
              <w:left w:val="single" w:sz="6" w:space="0" w:color="auto"/>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2430" w:type="dxa"/>
            <w:tcBorders>
              <w:top w:val="single" w:sz="6" w:space="0" w:color="auto"/>
              <w:left w:val="nil"/>
              <w:bottom w:val="single" w:sz="12" w:space="0" w:color="auto"/>
              <w:right w:val="nil"/>
            </w:tcBorders>
            <w:shd w:val="pct20" w:color="auto" w:fill="auto"/>
            <w:vAlign w:val="bottom"/>
          </w:tcPr>
          <w:p w:rsidR="00C75246" w:rsidRPr="00F11982" w:rsidRDefault="00090F1B" w:rsidP="002D7863">
            <w:pPr>
              <w:tabs>
                <w:tab w:val="left" w:pos="360"/>
                <w:tab w:val="left" w:pos="720"/>
                <w:tab w:val="left" w:pos="1440"/>
                <w:tab w:val="left" w:pos="2160"/>
                <w:tab w:val="left" w:pos="2880"/>
                <w:tab w:val="left" w:pos="3600"/>
                <w:tab w:val="left" w:pos="4320"/>
                <w:tab w:val="left" w:pos="5040"/>
              </w:tabs>
              <w:jc w:val="center"/>
              <w:rPr>
                <w:b/>
              </w:rPr>
            </w:pPr>
            <w:r>
              <w:rPr>
                <w:b/>
                <w:u w:val="single"/>
              </w:rPr>
              <w:t>FY 20</w:t>
            </w:r>
            <w:r w:rsidR="002B6AAE">
              <w:rPr>
                <w:b/>
                <w:u w:val="single"/>
              </w:rPr>
              <w:t>22</w:t>
            </w:r>
            <w:r w:rsidR="00C75246" w:rsidRPr="00F11982">
              <w:rPr>
                <w:b/>
              </w:rPr>
              <w:t xml:space="preserve">  </w:t>
            </w:r>
          </w:p>
        </w:tc>
        <w:tc>
          <w:tcPr>
            <w:tcW w:w="2105" w:type="dxa"/>
            <w:tcBorders>
              <w:top w:val="single" w:sz="6" w:space="0" w:color="auto"/>
              <w:left w:val="nil"/>
              <w:bottom w:val="single" w:sz="12" w:space="0" w:color="auto"/>
              <w:right w:val="nil"/>
            </w:tcBorders>
            <w:shd w:val="pct20" w:color="auto" w:fill="auto"/>
            <w:vAlign w:val="bottom"/>
          </w:tcPr>
          <w:p w:rsidR="00C75246" w:rsidRPr="00F11982" w:rsidRDefault="00090F1B" w:rsidP="002D7863">
            <w:pPr>
              <w:tabs>
                <w:tab w:val="left" w:pos="360"/>
                <w:tab w:val="left" w:pos="720"/>
                <w:tab w:val="left" w:pos="1440"/>
                <w:tab w:val="left" w:pos="2160"/>
                <w:tab w:val="left" w:pos="2880"/>
                <w:tab w:val="left" w:pos="3600"/>
                <w:tab w:val="left" w:pos="4320"/>
                <w:tab w:val="left" w:pos="5040"/>
              </w:tabs>
              <w:jc w:val="center"/>
              <w:rPr>
                <w:b/>
              </w:rPr>
            </w:pPr>
            <w:r>
              <w:rPr>
                <w:b/>
                <w:u w:val="single"/>
              </w:rPr>
              <w:t>FY 202</w:t>
            </w:r>
            <w:r w:rsidR="002B6AAE">
              <w:rPr>
                <w:b/>
                <w:u w:val="single"/>
              </w:rPr>
              <w:t>3</w:t>
            </w:r>
            <w:r w:rsidR="00C75246" w:rsidRPr="00F11982">
              <w:rPr>
                <w:b/>
              </w:rPr>
              <w:t xml:space="preserve">  </w:t>
            </w:r>
          </w:p>
        </w:tc>
        <w:tc>
          <w:tcPr>
            <w:tcW w:w="2495" w:type="dxa"/>
            <w:tcBorders>
              <w:top w:val="single" w:sz="6" w:space="0" w:color="auto"/>
              <w:left w:val="nil"/>
              <w:bottom w:val="single" w:sz="12" w:space="0" w:color="auto"/>
              <w:right w:val="single" w:sz="6" w:space="0" w:color="auto"/>
            </w:tcBorders>
            <w:shd w:val="pct20" w:color="auto" w:fill="auto"/>
            <w:vAlign w:val="bottom"/>
          </w:tcPr>
          <w:p w:rsidR="00C75246" w:rsidRPr="00F11982" w:rsidRDefault="00090F1B" w:rsidP="002D7863">
            <w:pPr>
              <w:tabs>
                <w:tab w:val="left" w:pos="360"/>
                <w:tab w:val="left" w:pos="720"/>
                <w:tab w:val="left" w:pos="1440"/>
                <w:tab w:val="left" w:pos="2160"/>
                <w:tab w:val="left" w:pos="2880"/>
                <w:tab w:val="left" w:pos="3600"/>
                <w:tab w:val="left" w:pos="4320"/>
                <w:tab w:val="left" w:pos="5040"/>
              </w:tabs>
              <w:jc w:val="center"/>
              <w:rPr>
                <w:b/>
              </w:rPr>
            </w:pPr>
            <w:r>
              <w:rPr>
                <w:b/>
                <w:u w:val="single"/>
              </w:rPr>
              <w:t>FY 202</w:t>
            </w:r>
            <w:r w:rsidR="002B6AAE">
              <w:rPr>
                <w:b/>
                <w:u w:val="single"/>
              </w:rPr>
              <w:t>4</w:t>
            </w:r>
            <w:r w:rsidR="00C75246" w:rsidRPr="00F11982">
              <w:rPr>
                <w:b/>
              </w:rPr>
              <w:t xml:space="preserve"> </w:t>
            </w:r>
          </w:p>
        </w:tc>
      </w:tr>
      <w:tr w:rsidR="00283EFC" w:rsidTr="00387576">
        <w:trPr>
          <w:gridAfter w:val="1"/>
          <w:wAfter w:w="15" w:type="dxa"/>
          <w:trHeight w:val="410"/>
        </w:trPr>
        <w:tc>
          <w:tcPr>
            <w:tcW w:w="2330" w:type="dxa"/>
            <w:tcBorders>
              <w:top w:val="nil"/>
              <w:left w:val="single" w:sz="6" w:space="0" w:color="auto"/>
              <w:bottom w:val="nil"/>
              <w:right w:val="nil"/>
            </w:tcBorders>
            <w:tcMar>
              <w:bottom w:w="29" w:type="dxa"/>
            </w:tcMar>
            <w:vAlign w:val="bottom"/>
          </w:tcPr>
          <w:p w:rsidR="00283EFC" w:rsidRPr="00F11982" w:rsidRDefault="00283EFC" w:rsidP="002D7863">
            <w:pPr>
              <w:tabs>
                <w:tab w:val="left" w:pos="360"/>
                <w:tab w:val="left" w:pos="720"/>
                <w:tab w:val="left" w:pos="1440"/>
                <w:tab w:val="left" w:pos="2160"/>
                <w:tab w:val="left" w:pos="2880"/>
                <w:tab w:val="left" w:pos="3600"/>
                <w:tab w:val="left" w:pos="4320"/>
                <w:tab w:val="left" w:pos="5040"/>
              </w:tabs>
              <w:rPr>
                <w:b/>
              </w:rPr>
            </w:pPr>
            <w:r w:rsidRPr="00F11982">
              <w:rPr>
                <w:b/>
              </w:rPr>
              <w:t>State Cost</w:t>
            </w:r>
            <w:r w:rsidR="00387576">
              <w:rPr>
                <w:b/>
              </w:rPr>
              <w:t xml:space="preserve"> Increase</w:t>
            </w:r>
          </w:p>
        </w:tc>
        <w:tc>
          <w:tcPr>
            <w:tcW w:w="7030" w:type="dxa"/>
            <w:gridSpan w:val="3"/>
            <w:tcBorders>
              <w:top w:val="nil"/>
              <w:left w:val="nil"/>
              <w:bottom w:val="nil"/>
              <w:right w:val="single" w:sz="6" w:space="0" w:color="auto"/>
            </w:tcBorders>
            <w:tcMar>
              <w:bottom w:w="29" w:type="dxa"/>
            </w:tcMar>
            <w:vAlign w:val="bottom"/>
          </w:tcPr>
          <w:p w:rsidR="00283EFC" w:rsidRDefault="00283EFC" w:rsidP="00283EFC">
            <w:pPr>
              <w:tabs>
                <w:tab w:val="left" w:pos="360"/>
                <w:tab w:val="left" w:pos="720"/>
                <w:tab w:val="left" w:pos="1440"/>
                <w:tab w:val="left" w:pos="2160"/>
                <w:tab w:val="left" w:pos="2880"/>
                <w:tab w:val="left" w:pos="3600"/>
                <w:tab w:val="left" w:pos="4320"/>
                <w:tab w:val="left" w:pos="5040"/>
              </w:tabs>
              <w:jc w:val="center"/>
            </w:pPr>
            <w:r>
              <w:t>Indeterminate</w:t>
            </w:r>
          </w:p>
        </w:tc>
      </w:tr>
      <w:tr w:rsidR="00C75246" w:rsidTr="00387576">
        <w:trPr>
          <w:gridAfter w:val="1"/>
          <w:wAfter w:w="15" w:type="dxa"/>
          <w:trHeight w:hRule="exact" w:val="80"/>
        </w:trPr>
        <w:tc>
          <w:tcPr>
            <w:tcW w:w="9360" w:type="dxa"/>
            <w:gridSpan w:val="4"/>
            <w:tcBorders>
              <w:top w:val="nil"/>
              <w:left w:val="single" w:sz="6" w:space="0" w:color="auto"/>
              <w:bottom w:val="single" w:sz="6" w:space="0" w:color="auto"/>
              <w:right w:val="single" w:sz="6" w:space="0" w:color="auto"/>
            </w:tcBorders>
          </w:tcPr>
          <w:p w:rsidR="00C75246" w:rsidRDefault="00C75246" w:rsidP="002D7863">
            <w:pPr>
              <w:tabs>
                <w:tab w:val="left" w:pos="360"/>
                <w:tab w:val="left" w:pos="720"/>
                <w:tab w:val="left" w:pos="1440"/>
                <w:tab w:val="left" w:pos="2160"/>
                <w:tab w:val="left" w:pos="2880"/>
                <w:tab w:val="left" w:pos="3600"/>
                <w:tab w:val="left" w:pos="4320"/>
                <w:tab w:val="left" w:pos="5040"/>
              </w:tabs>
            </w:pPr>
          </w:p>
        </w:tc>
      </w:tr>
    </w:tbl>
    <w:p w:rsidR="000D77FB" w:rsidRDefault="000D77FB" w:rsidP="000D77FB">
      <w:pPr>
        <w:tabs>
          <w:tab w:val="left" w:pos="360"/>
          <w:tab w:val="left" w:pos="720"/>
          <w:tab w:val="left" w:pos="1440"/>
          <w:tab w:val="left" w:pos="2160"/>
          <w:tab w:val="left" w:pos="2880"/>
          <w:tab w:val="left" w:pos="3600"/>
          <w:tab w:val="left" w:pos="4320"/>
          <w:tab w:val="left" w:pos="5040"/>
        </w:tabs>
      </w:pPr>
    </w:p>
    <w:p w:rsidR="00387576" w:rsidRDefault="00CC33BB" w:rsidP="00936610">
      <w:pPr>
        <w:pStyle w:val="StyleBulletedSymbolsymbol"/>
        <w:tabs>
          <w:tab w:val="left" w:pos="360"/>
          <w:tab w:val="left" w:pos="720"/>
          <w:tab w:val="left" w:pos="1440"/>
          <w:tab w:val="left" w:pos="2160"/>
          <w:tab w:val="left" w:pos="2880"/>
          <w:tab w:val="left" w:pos="3600"/>
          <w:tab w:val="left" w:pos="4320"/>
          <w:tab w:val="left" w:pos="5040"/>
        </w:tabs>
        <w:spacing w:after="0"/>
      </w:pPr>
      <w:r>
        <w:t>The Office of Legislative Services (OLS) estimates that the enactment of this bill would result in an indeterminate increase in annual State expenditures</w:t>
      </w:r>
      <w:r w:rsidR="00967546">
        <w:t>.</w:t>
      </w:r>
      <w:r>
        <w:t xml:space="preserve">  The </w:t>
      </w:r>
      <w:r w:rsidR="00DA2FB6">
        <w:t xml:space="preserve">bill may result in </w:t>
      </w:r>
      <w:r>
        <w:t>increase</w:t>
      </w:r>
      <w:r w:rsidR="00DA2FB6">
        <w:t>d</w:t>
      </w:r>
      <w:r>
        <w:t xml:space="preserve"> State costs </w:t>
      </w:r>
      <w:r w:rsidR="00DA2FB6">
        <w:t xml:space="preserve">to the Department of Military and Veterans Affairs </w:t>
      </w:r>
      <w:r>
        <w:t xml:space="preserve">to provide for </w:t>
      </w:r>
      <w:r w:rsidR="00967546">
        <w:t xml:space="preserve">the establishment of a sexual assault prevention and response program and </w:t>
      </w:r>
      <w:r>
        <w:t xml:space="preserve">the hiring of a full-time </w:t>
      </w:r>
      <w:r w:rsidR="00FD7A88">
        <w:t>s</w:t>
      </w:r>
      <w:r w:rsidR="00FD7A88" w:rsidRPr="00226409">
        <w:t xml:space="preserve">exual </w:t>
      </w:r>
      <w:r w:rsidR="00FD7A88">
        <w:t>a</w:t>
      </w:r>
      <w:r w:rsidR="00FD7A88" w:rsidRPr="00226409">
        <w:t xml:space="preserve">ssault </w:t>
      </w:r>
      <w:r w:rsidR="00FD7A88">
        <w:t>p</w:t>
      </w:r>
      <w:r w:rsidR="00FD7A88" w:rsidRPr="00226409">
        <w:t xml:space="preserve">revention </w:t>
      </w:r>
      <w:r w:rsidR="00FD7A88">
        <w:t>c</w:t>
      </w:r>
      <w:r w:rsidR="00FD7A88" w:rsidRPr="00226409">
        <w:t>oordinator</w:t>
      </w:r>
      <w:r w:rsidR="00C302D6">
        <w:t xml:space="preserve">.  The costs </w:t>
      </w:r>
      <w:r>
        <w:t xml:space="preserve">would include </w:t>
      </w:r>
      <w:r w:rsidR="00C302D6">
        <w:t xml:space="preserve">materials, supplies, office space, and staff </w:t>
      </w:r>
      <w:r>
        <w:t xml:space="preserve">costs associated with salary and fringe benefits.  </w:t>
      </w:r>
    </w:p>
    <w:p w:rsidR="00936610" w:rsidRDefault="00936610" w:rsidP="00936610">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pPr>
    </w:p>
    <w:p w:rsidR="000D77FB" w:rsidRDefault="00CC33BB" w:rsidP="00936610">
      <w:pPr>
        <w:pStyle w:val="StyleBulletedSymbolsymbol"/>
        <w:tabs>
          <w:tab w:val="left" w:pos="360"/>
          <w:tab w:val="left" w:pos="720"/>
          <w:tab w:val="left" w:pos="1440"/>
          <w:tab w:val="left" w:pos="2160"/>
          <w:tab w:val="left" w:pos="2880"/>
          <w:tab w:val="left" w:pos="3600"/>
          <w:tab w:val="left" w:pos="4320"/>
          <w:tab w:val="left" w:pos="5040"/>
        </w:tabs>
        <w:spacing w:after="0"/>
      </w:pPr>
      <w:r>
        <w:t>The increased State costs generally assume the hiring of new employees; ho</w:t>
      </w:r>
      <w:r w:rsidR="00DA2FB6">
        <w:t xml:space="preserve">wever, it is possible that the </w:t>
      </w:r>
      <w:r w:rsidR="00933C22">
        <w:t>d</w:t>
      </w:r>
      <w:r w:rsidR="00DA2FB6">
        <w:t xml:space="preserve">epartment </w:t>
      </w:r>
      <w:r>
        <w:t>would appoi</w:t>
      </w:r>
      <w:r w:rsidR="00933C22">
        <w:t>nt an existing employee</w:t>
      </w:r>
      <w:r w:rsidR="006652BC">
        <w:t>.  I</w:t>
      </w:r>
      <w:r>
        <w:t xml:space="preserve">f </w:t>
      </w:r>
      <w:r w:rsidR="00933C22">
        <w:t>the</w:t>
      </w:r>
      <w:r w:rsidR="006652BC">
        <w:t xml:space="preserve"> department</w:t>
      </w:r>
      <w:r>
        <w:t xml:space="preserve"> appoints an existing employee for the position, the potential annual State costs could be reduced because of the reallocation of existing res</w:t>
      </w:r>
      <w:r w:rsidR="00933C22">
        <w:t>ources and changing the role of</w:t>
      </w:r>
      <w:r w:rsidR="00DA2FB6">
        <w:t xml:space="preserve"> current employee</w:t>
      </w:r>
      <w:r w:rsidR="00933C22">
        <w:t>s</w:t>
      </w:r>
      <w:r>
        <w:t xml:space="preserve">. </w:t>
      </w:r>
    </w:p>
    <w:p w:rsidR="00936610" w:rsidRDefault="00936610" w:rsidP="00936610">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pPr>
    </w:p>
    <w:p w:rsidR="000D77FB" w:rsidRDefault="000D77FB" w:rsidP="00790E9B"/>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68043B" w:rsidRDefault="0068043B" w:rsidP="002D7863">
      <w:pPr>
        <w:tabs>
          <w:tab w:val="left" w:pos="360"/>
          <w:tab w:val="left" w:pos="720"/>
          <w:tab w:val="left" w:pos="1440"/>
          <w:tab w:val="left" w:pos="2160"/>
          <w:tab w:val="left" w:pos="2880"/>
          <w:tab w:val="left" w:pos="3600"/>
          <w:tab w:val="left" w:pos="4320"/>
          <w:tab w:val="left" w:pos="5040"/>
        </w:tabs>
      </w:pPr>
    </w:p>
    <w:p w:rsidR="00CC33BB" w:rsidRDefault="00387576" w:rsidP="00387576">
      <w:r>
        <w:t xml:space="preserve">      </w:t>
      </w:r>
      <w:r w:rsidR="00CC33BB">
        <w:t xml:space="preserve">This bill </w:t>
      </w:r>
      <w:r w:rsidR="0097732D">
        <w:t>requires the Adjutant General of t</w:t>
      </w:r>
      <w:r w:rsidR="00CC33BB" w:rsidRPr="00226409">
        <w:t xml:space="preserve">he Department of </w:t>
      </w:r>
      <w:r w:rsidR="00CC33BB">
        <w:t xml:space="preserve">Military and Veterans Affairs </w:t>
      </w:r>
      <w:r w:rsidR="0097732D">
        <w:t xml:space="preserve">to establish </w:t>
      </w:r>
      <w:r w:rsidR="00CC33BB" w:rsidRPr="00226409">
        <w:t xml:space="preserve">a </w:t>
      </w:r>
      <w:r w:rsidR="00CC33BB">
        <w:t>s</w:t>
      </w:r>
      <w:r w:rsidR="00CC33BB" w:rsidRPr="00226409">
        <w:t xml:space="preserve">exual </w:t>
      </w:r>
      <w:r w:rsidR="00CC33BB">
        <w:t>a</w:t>
      </w:r>
      <w:r w:rsidR="00CC33BB" w:rsidRPr="00226409">
        <w:t>ssa</w:t>
      </w:r>
      <w:r w:rsidR="00CC33BB">
        <w:t>ult prevention and response p</w:t>
      </w:r>
      <w:r w:rsidR="00CC33BB" w:rsidRPr="00226409">
        <w:t>rogram</w:t>
      </w:r>
      <w:r w:rsidR="0097732D">
        <w:t>, and appoint</w:t>
      </w:r>
      <w:r w:rsidR="00CC33BB" w:rsidRPr="00226409">
        <w:t xml:space="preserve"> an individual to serve as the </w:t>
      </w:r>
      <w:r w:rsidR="00CC33BB">
        <w:t>s</w:t>
      </w:r>
      <w:r w:rsidR="00CC33BB" w:rsidRPr="00226409">
        <w:t xml:space="preserve">exual </w:t>
      </w:r>
      <w:r w:rsidR="00CC33BB">
        <w:t>a</w:t>
      </w:r>
      <w:r w:rsidR="00CC33BB" w:rsidRPr="00226409">
        <w:t xml:space="preserve">ssault </w:t>
      </w:r>
      <w:r w:rsidR="00CC33BB">
        <w:t>p</w:t>
      </w:r>
      <w:r w:rsidR="00CC33BB" w:rsidRPr="00226409">
        <w:t xml:space="preserve">revention </w:t>
      </w:r>
      <w:r w:rsidR="00CC33BB">
        <w:t>c</w:t>
      </w:r>
      <w:r w:rsidR="00CC33BB" w:rsidRPr="00226409">
        <w:t xml:space="preserve">oordinator.  </w:t>
      </w:r>
      <w:r w:rsidR="00CC33BB" w:rsidRPr="005A479B">
        <w:t xml:space="preserve">The </w:t>
      </w:r>
      <w:r w:rsidR="00CC33BB">
        <w:t>coordinator</w:t>
      </w:r>
      <w:r w:rsidR="00CC33BB" w:rsidRPr="005A479B">
        <w:t xml:space="preserve"> will </w:t>
      </w:r>
      <w:r w:rsidR="00CC33BB">
        <w:t>provide</w:t>
      </w:r>
      <w:r w:rsidR="00CC33BB" w:rsidRPr="005A479B">
        <w:t xml:space="preserve"> victim advocacy services, including ensuring that victims of sexual assault receive</w:t>
      </w:r>
      <w:r w:rsidR="00CC33BB">
        <w:t xml:space="preserve"> appropriate responsive care, understand available reporting options, and are notified of eligibility for </w:t>
      </w:r>
      <w:r w:rsidR="00CC33BB" w:rsidRPr="005A479B">
        <w:t xml:space="preserve">compensation </w:t>
      </w:r>
      <w:r w:rsidR="00CC33BB">
        <w:t>from</w:t>
      </w:r>
      <w:r w:rsidR="00CC33BB" w:rsidRPr="005A479B">
        <w:t xml:space="preserve"> the Victims of Crime Compensation Office.</w:t>
      </w:r>
      <w:r w:rsidR="00CC33BB">
        <w:t xml:space="preserve">  </w:t>
      </w:r>
      <w:r w:rsidR="00CC33BB" w:rsidRPr="00226409">
        <w:t xml:space="preserve">The coordinator may </w:t>
      </w:r>
      <w:r w:rsidR="00CC33BB">
        <w:t xml:space="preserve">also </w:t>
      </w:r>
      <w:r w:rsidR="00CC33BB" w:rsidRPr="00226409">
        <w:t xml:space="preserve">file an application with the consent of the </w:t>
      </w:r>
      <w:r w:rsidR="00CC33BB" w:rsidRPr="00226409">
        <w:lastRenderedPageBreak/>
        <w:t>victim for a protective order</w:t>
      </w:r>
      <w:r w:rsidR="00CC33BB">
        <w:t xml:space="preserve"> on behalf of the victim</w:t>
      </w:r>
      <w:r w:rsidR="00CC33BB" w:rsidRPr="00226409">
        <w:t xml:space="preserve">.  </w:t>
      </w:r>
      <w:r w:rsidR="00CC33BB">
        <w:t>The protective order may be filed at the State level and with the military authorities.</w:t>
      </w:r>
    </w:p>
    <w:p w:rsidR="006F07A1" w:rsidRDefault="00387576" w:rsidP="006F07A1">
      <w:r>
        <w:t xml:space="preserve">      </w:t>
      </w:r>
      <w:r w:rsidR="006F07A1">
        <w:t xml:space="preserve">The coordinator, as appropriate, will </w:t>
      </w:r>
      <w:r w:rsidR="006F07A1" w:rsidRPr="00CA17A3">
        <w:t xml:space="preserve">refer the </w:t>
      </w:r>
      <w:r w:rsidR="006F07A1">
        <w:t xml:space="preserve">case or </w:t>
      </w:r>
      <w:r w:rsidR="006F07A1" w:rsidRPr="00CA17A3">
        <w:t xml:space="preserve">allegation </w:t>
      </w:r>
      <w:r w:rsidR="006F07A1">
        <w:t xml:space="preserve">of sexual assault to the Office of the Attorney General for </w:t>
      </w:r>
      <w:r w:rsidR="006F07A1" w:rsidRPr="00CA17A3">
        <w:t xml:space="preserve">investigation. </w:t>
      </w:r>
      <w:r w:rsidR="006F07A1">
        <w:t xml:space="preserve"> The Attorney General will designate an employee of the Department of Law and Public Safety to investigate the case or allegation.</w:t>
      </w:r>
    </w:p>
    <w:p w:rsidR="006F07A1" w:rsidRDefault="006F07A1" w:rsidP="0097732D">
      <w:pPr>
        <w:ind w:firstLine="720"/>
      </w:pPr>
    </w:p>
    <w:p w:rsidR="00CC33BB" w:rsidRPr="00226409" w:rsidRDefault="00CC33BB" w:rsidP="00CC33BB"/>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r>
        <w:tab/>
      </w:r>
      <w:r w:rsidR="00090F1B">
        <w:t>None received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0774B3" w:rsidRDefault="00387576" w:rsidP="00387576">
      <w:pPr>
        <w:autoSpaceDE w:val="0"/>
        <w:autoSpaceDN w:val="0"/>
        <w:adjustRightInd w:val="0"/>
      </w:pPr>
      <w:r>
        <w:t xml:space="preserve">      </w:t>
      </w:r>
      <w:r w:rsidR="000774B3">
        <w:t xml:space="preserve">The OLS estimates that the enactment of this bill would result in an indeterminate increase in annual State expenditures.  The bill may result in increased State costs to the Department of Military and Veterans Affairs to provide for the establishment of a sexual assault prevention and response program and the hiring of a full-time sexual assault prevention coordinator.  The costs would include materials, supplies, office space, and staff costs associated with salary and fringe benefits.  </w:t>
      </w:r>
    </w:p>
    <w:p w:rsidR="00C95269" w:rsidRDefault="00C95269" w:rsidP="00387576">
      <w:pPr>
        <w:autoSpaceDE w:val="0"/>
        <w:autoSpaceDN w:val="0"/>
        <w:adjustRightInd w:val="0"/>
      </w:pPr>
    </w:p>
    <w:p w:rsidR="00EF17BC" w:rsidRDefault="00387576" w:rsidP="00387576">
      <w:pPr>
        <w:autoSpaceDE w:val="0"/>
        <w:autoSpaceDN w:val="0"/>
        <w:adjustRightInd w:val="0"/>
      </w:pPr>
      <w:r>
        <w:t xml:space="preserve">      </w:t>
      </w:r>
      <w:r w:rsidR="000774B3">
        <w:t>The increased State costs generally assume the hiring of new employees; however, it is possible that the department would appoint an existing employee.  If the department appoints an existing employee for the position, the potential annual State costs could be reduced because of the reallocation of existing resources and changing the role of current employees.</w:t>
      </w:r>
    </w:p>
    <w:p w:rsidR="000D77FB" w:rsidRPr="00790E9B" w:rsidRDefault="000D77FB" w:rsidP="000774B3">
      <w:pPr>
        <w:autoSpaceDE w:val="0"/>
        <w:autoSpaceDN w:val="0"/>
        <w:adjustRightInd w:val="0"/>
      </w:pPr>
    </w:p>
    <w:p w:rsidR="00EF17BC" w:rsidRDefault="00EF17BC"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090F1B" w:rsidP="00EF17BC">
            <w:pPr>
              <w:pStyle w:val="10pointItalics"/>
              <w:rPr>
                <w:sz w:val="24"/>
              </w:rPr>
            </w:pPr>
            <w:bookmarkStart w:id="2" w:name="Section"/>
            <w:r>
              <w:t xml:space="preserve">State Government </w:t>
            </w:r>
            <w:bookmarkEnd w:id="2"/>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68043B" w:rsidP="00EF17BC">
            <w:pPr>
              <w:pStyle w:val="10pointItalics"/>
            </w:pPr>
            <w:bookmarkStart w:id="3" w:name="UserFullName"/>
            <w:bookmarkEnd w:id="3"/>
            <w:r>
              <w:t xml:space="preserve">Tracey Pino Murphy </w:t>
            </w:r>
          </w:p>
          <w:p w:rsidR="0068043B" w:rsidRPr="0068043B" w:rsidRDefault="00CC33BB" w:rsidP="0068043B">
            <w:pPr>
              <w:rPr>
                <w:i/>
              </w:rPr>
            </w:pPr>
            <w:r>
              <w:rPr>
                <w:i/>
                <w:sz w:val="20"/>
              </w:rPr>
              <w:t>Principal</w:t>
            </w:r>
            <w:r w:rsidR="0068043B" w:rsidRPr="0068043B">
              <w:rPr>
                <w:i/>
                <w:sz w:val="20"/>
              </w:rPr>
              <w:t xml:space="preserve"> Counsel </w:t>
            </w:r>
          </w:p>
        </w:tc>
      </w:tr>
      <w:tr w:rsidR="00EF17BC" w:rsidTr="007D5D92">
        <w:trPr>
          <w:trHeight w:val="567"/>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7D03F8" w:rsidP="00EF17BC">
            <w:pPr>
              <w:pStyle w:val="10pointItalics"/>
            </w:pPr>
            <w:r>
              <w:t xml:space="preserve">Thomas </w:t>
            </w:r>
            <w:proofErr w:type="spellStart"/>
            <w:r>
              <w:t>Koening</w:t>
            </w:r>
            <w:proofErr w:type="spellEnd"/>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936610" w:rsidRDefault="00936610" w:rsidP="00EF17BC">
      <w:pPr>
        <w:spacing w:line="287" w:lineRule="atLeast"/>
      </w:pPr>
    </w:p>
    <w:p w:rsidR="00EF17BC" w:rsidRDefault="009350B5"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9350B5">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2D62B2">
      <w:headerReference w:type="default" r:id="rId8"/>
      <w:footerReference w:type="first" r:id="rId9"/>
      <w:pgSz w:w="12240" w:h="20160" w:code="5"/>
      <w:pgMar w:top="1440" w:right="1440" w:bottom="171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E4AE8" w:rsidRDefault="00AE4AE8">
      <w:r>
        <w:separator/>
      </w:r>
    </w:p>
  </w:endnote>
  <w:endnote w:type="continuationSeparator" w:id="0">
    <w:p w:rsidR="00AE4AE8" w:rsidRDefault="00AE4A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F35009">
      <w:trPr>
        <w:trHeight w:hRule="exact" w:val="144"/>
      </w:trPr>
      <w:tc>
        <w:tcPr>
          <w:tcW w:w="3084" w:type="dxa"/>
          <w:tcBorders>
            <w:bottom w:val="single" w:sz="12" w:space="0" w:color="auto"/>
          </w:tcBorders>
        </w:tcPr>
        <w:p w:rsidR="00F35009" w:rsidRDefault="00F35009" w:rsidP="001106B5">
          <w:pPr>
            <w:pStyle w:val="10pointItalics"/>
          </w:pPr>
        </w:p>
      </w:tc>
      <w:tc>
        <w:tcPr>
          <w:tcW w:w="2856" w:type="dxa"/>
          <w:tcBorders>
            <w:bottom w:val="single" w:sz="12" w:space="0" w:color="auto"/>
          </w:tcBorders>
        </w:tcPr>
        <w:p w:rsidR="00F35009" w:rsidRPr="001106B5" w:rsidRDefault="00F35009">
          <w:pPr>
            <w:pStyle w:val="Footer"/>
            <w:rPr>
              <w:noProof/>
              <w:sz w:val="20"/>
              <w:szCs w:val="20"/>
            </w:rPr>
          </w:pPr>
        </w:p>
      </w:tc>
      <w:tc>
        <w:tcPr>
          <w:tcW w:w="3420" w:type="dxa"/>
          <w:tcBorders>
            <w:bottom w:val="single" w:sz="12" w:space="0" w:color="auto"/>
          </w:tcBorders>
        </w:tcPr>
        <w:p w:rsidR="00F35009" w:rsidRDefault="00F35009" w:rsidP="001106B5">
          <w:pPr>
            <w:pStyle w:val="10pointItalics"/>
          </w:pPr>
        </w:p>
      </w:tc>
    </w:tr>
    <w:tr w:rsidR="00F35009">
      <w:trPr>
        <w:trHeight w:val="887"/>
      </w:trPr>
      <w:tc>
        <w:tcPr>
          <w:tcW w:w="3084" w:type="dxa"/>
          <w:tcBorders>
            <w:top w:val="single" w:sz="12" w:space="0" w:color="auto"/>
          </w:tcBorders>
          <w:tcMar>
            <w:top w:w="29" w:type="dxa"/>
            <w:left w:w="115" w:type="dxa"/>
            <w:right w:w="115" w:type="dxa"/>
          </w:tcMar>
          <w:vAlign w:val="bottom"/>
        </w:tcPr>
        <w:p w:rsidR="00F35009" w:rsidRDefault="00F35009" w:rsidP="00125D26">
          <w:pPr>
            <w:pStyle w:val="10pointItalics"/>
            <w:jc w:val="center"/>
          </w:pPr>
          <w:r>
            <w:t>Office of Legislative Services</w:t>
          </w:r>
        </w:p>
        <w:p w:rsidR="00F35009" w:rsidRDefault="00F35009" w:rsidP="00125D26">
          <w:pPr>
            <w:pStyle w:val="10pointItalics"/>
            <w:jc w:val="center"/>
          </w:pPr>
          <w:r>
            <w:t>State House Annex</w:t>
          </w:r>
        </w:p>
        <w:p w:rsidR="00F35009" w:rsidRDefault="00F35009" w:rsidP="00125D26">
          <w:pPr>
            <w:pStyle w:val="10pointItalics"/>
            <w:jc w:val="center"/>
          </w:pPr>
          <w:r>
            <w:t>P.O. Box 068</w:t>
          </w:r>
        </w:p>
        <w:p w:rsidR="00F35009" w:rsidRDefault="00F35009" w:rsidP="00125D26">
          <w:pPr>
            <w:pStyle w:val="10pointItalics"/>
            <w:jc w:val="center"/>
          </w:pPr>
          <w:r>
            <w:t>Trenton, New Jersey  08625</w:t>
          </w:r>
        </w:p>
      </w:tc>
      <w:tc>
        <w:tcPr>
          <w:tcW w:w="2856" w:type="dxa"/>
          <w:tcBorders>
            <w:top w:val="single" w:sz="12" w:space="0" w:color="auto"/>
          </w:tcBorders>
          <w:tcMar>
            <w:top w:w="29" w:type="dxa"/>
            <w:left w:w="115" w:type="dxa"/>
            <w:right w:w="115" w:type="dxa"/>
          </w:tcMar>
        </w:tcPr>
        <w:p w:rsidR="00F35009" w:rsidRDefault="00E27271">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86475679" r:id="rId2"/>
            </w:object>
          </w:r>
        </w:p>
      </w:tc>
      <w:tc>
        <w:tcPr>
          <w:tcW w:w="3420" w:type="dxa"/>
          <w:tcBorders>
            <w:top w:val="single" w:sz="12" w:space="0" w:color="auto"/>
          </w:tcBorders>
          <w:tcMar>
            <w:top w:w="29" w:type="dxa"/>
            <w:left w:w="115" w:type="dxa"/>
            <w:right w:w="115" w:type="dxa"/>
          </w:tcMar>
          <w:vAlign w:val="bottom"/>
        </w:tcPr>
        <w:p w:rsidR="00F35009" w:rsidRDefault="00F35009" w:rsidP="00125D26">
          <w:pPr>
            <w:pStyle w:val="10pointItalics"/>
            <w:jc w:val="center"/>
          </w:pPr>
          <w:r>
            <w:t>Legislative Budget and Finance Office</w:t>
          </w:r>
        </w:p>
        <w:p w:rsidR="00F35009" w:rsidRDefault="00577AA8" w:rsidP="00125D26">
          <w:pPr>
            <w:pStyle w:val="10pointItalics"/>
            <w:jc w:val="center"/>
          </w:pPr>
          <w:r>
            <w:t>Phone (609) 847-3105</w:t>
          </w:r>
        </w:p>
        <w:p w:rsidR="00F35009" w:rsidRDefault="00F35009" w:rsidP="00125D26">
          <w:pPr>
            <w:pStyle w:val="10pointItalics"/>
            <w:jc w:val="center"/>
          </w:pPr>
          <w:r>
            <w:t>Fax (609) 777-2442</w:t>
          </w:r>
        </w:p>
        <w:p w:rsidR="00F35009" w:rsidRDefault="00F35009" w:rsidP="00125D26">
          <w:pPr>
            <w:pStyle w:val="10pointItalics"/>
            <w:jc w:val="center"/>
          </w:pPr>
          <w:r>
            <w:t>www.njleg.state.nj.us</w:t>
          </w:r>
        </w:p>
      </w:tc>
    </w:tr>
  </w:tbl>
  <w:p w:rsidR="00F35009" w:rsidRDefault="00F35009"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E4AE8" w:rsidRDefault="00AE4AE8">
      <w:r>
        <w:separator/>
      </w:r>
    </w:p>
  </w:footnote>
  <w:footnote w:type="continuationSeparator" w:id="0">
    <w:p w:rsidR="00AE4AE8" w:rsidRDefault="00AE4AE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50B5" w:rsidRDefault="009350B5" w:rsidP="009350B5">
    <w:pPr>
      <w:pStyle w:val="Header"/>
      <w:jc w:val="center"/>
    </w:pPr>
    <w:r>
      <w:t>F</w:t>
    </w:r>
    <w:r w:rsidR="00360B51">
      <w:t>E to A</w:t>
    </w:r>
    <w:r w:rsidR="0000391C">
      <w:t xml:space="preserve"> 5784</w:t>
    </w:r>
  </w:p>
  <w:p w:rsidR="009350B5" w:rsidRDefault="009350B5" w:rsidP="009350B5">
    <w:pPr>
      <w:pStyle w:val="Header"/>
      <w:jc w:val="center"/>
    </w:pPr>
    <w:r>
      <w:fldChar w:fldCharType="begin"/>
    </w:r>
    <w:r>
      <w:instrText xml:space="preserve"> PAGE  \* MERGEFORMAT </w:instrText>
    </w:r>
    <w:r>
      <w:fldChar w:fldCharType="separate"/>
    </w:r>
    <w:r w:rsidR="00E27271">
      <w:rPr>
        <w:noProof/>
      </w:rPr>
      <w:t>2</w:t>
    </w:r>
    <w:r>
      <w:fldChar w:fldCharType="end"/>
    </w:r>
  </w:p>
  <w:p w:rsidR="009350B5" w:rsidRDefault="009350B5" w:rsidP="009350B5">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17F16E1"/>
    <w:multiLevelType w:val="hybridMultilevel"/>
    <w:tmpl w:val="D6B472AA"/>
    <w:lvl w:ilvl="0" w:tplc="4B404F58">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34F2BA24">
      <w:start w:val="1"/>
      <w:numFmt w:val="bullet"/>
      <w:lvlText w:val="o"/>
      <w:lvlJc w:val="left"/>
      <w:pPr>
        <w:ind w:left="10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7538892E">
      <w:start w:val="1"/>
      <w:numFmt w:val="bullet"/>
      <w:lvlText w:val="▪"/>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3F0E4686">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5E02FDC">
      <w:start w:val="1"/>
      <w:numFmt w:val="bullet"/>
      <w:lvlText w:val="o"/>
      <w:lvlJc w:val="left"/>
      <w:pPr>
        <w:ind w:left="32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8E061E78">
      <w:start w:val="1"/>
      <w:numFmt w:val="bullet"/>
      <w:lvlText w:val="▪"/>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2C5AE3BA">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E42A9A82">
      <w:start w:val="1"/>
      <w:numFmt w:val="bullet"/>
      <w:lvlText w:val="o"/>
      <w:lvlJc w:val="left"/>
      <w:pPr>
        <w:ind w:left="54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D41E1770">
      <w:start w:val="1"/>
      <w:numFmt w:val="bullet"/>
      <w:lvlText w:val="▪"/>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4CDE1C9F"/>
    <w:multiLevelType w:val="hybridMultilevel"/>
    <w:tmpl w:val="ED882F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3"/>
  </w:num>
  <w:num w:numId="3">
    <w:abstractNumId w:val="0"/>
  </w:num>
  <w:num w:numId="4">
    <w:abstractNumId w:val="5"/>
  </w:num>
  <w:num w:numId="5">
    <w:abstractNumId w:val="4"/>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50B5"/>
    <w:rsid w:val="0000391C"/>
    <w:rsid w:val="00011EDD"/>
    <w:rsid w:val="00013973"/>
    <w:rsid w:val="000333DF"/>
    <w:rsid w:val="00036860"/>
    <w:rsid w:val="00042B0B"/>
    <w:rsid w:val="000629F9"/>
    <w:rsid w:val="0006592F"/>
    <w:rsid w:val="000701B0"/>
    <w:rsid w:val="00070F62"/>
    <w:rsid w:val="000774B3"/>
    <w:rsid w:val="000820F8"/>
    <w:rsid w:val="0008691D"/>
    <w:rsid w:val="00090F1B"/>
    <w:rsid w:val="00095290"/>
    <w:rsid w:val="000A16EC"/>
    <w:rsid w:val="000A1B14"/>
    <w:rsid w:val="000B1CCB"/>
    <w:rsid w:val="000C074D"/>
    <w:rsid w:val="000C50EA"/>
    <w:rsid w:val="000D77FB"/>
    <w:rsid w:val="000E08DD"/>
    <w:rsid w:val="000E17DB"/>
    <w:rsid w:val="000F0A12"/>
    <w:rsid w:val="000F231D"/>
    <w:rsid w:val="000F278B"/>
    <w:rsid w:val="000F2B57"/>
    <w:rsid w:val="000F45FB"/>
    <w:rsid w:val="001032BC"/>
    <w:rsid w:val="001106B5"/>
    <w:rsid w:val="00114591"/>
    <w:rsid w:val="00115411"/>
    <w:rsid w:val="001223E7"/>
    <w:rsid w:val="00125D26"/>
    <w:rsid w:val="001300AB"/>
    <w:rsid w:val="00142AE8"/>
    <w:rsid w:val="00145CE4"/>
    <w:rsid w:val="00153C67"/>
    <w:rsid w:val="00157AED"/>
    <w:rsid w:val="00172CF5"/>
    <w:rsid w:val="001907A1"/>
    <w:rsid w:val="00193C26"/>
    <w:rsid w:val="001946DD"/>
    <w:rsid w:val="00194789"/>
    <w:rsid w:val="00197240"/>
    <w:rsid w:val="001B1D4B"/>
    <w:rsid w:val="001B2BA9"/>
    <w:rsid w:val="001C2A05"/>
    <w:rsid w:val="001C5B28"/>
    <w:rsid w:val="001D0C90"/>
    <w:rsid w:val="001D3FD4"/>
    <w:rsid w:val="001F4F8B"/>
    <w:rsid w:val="00201322"/>
    <w:rsid w:val="0020151B"/>
    <w:rsid w:val="00203C53"/>
    <w:rsid w:val="00210E60"/>
    <w:rsid w:val="002116FF"/>
    <w:rsid w:val="00212908"/>
    <w:rsid w:val="00213CFF"/>
    <w:rsid w:val="00220166"/>
    <w:rsid w:val="00231207"/>
    <w:rsid w:val="00234802"/>
    <w:rsid w:val="00241AAD"/>
    <w:rsid w:val="002427E6"/>
    <w:rsid w:val="00244FA8"/>
    <w:rsid w:val="002451F9"/>
    <w:rsid w:val="002518C8"/>
    <w:rsid w:val="00254CC4"/>
    <w:rsid w:val="00255944"/>
    <w:rsid w:val="00261FC7"/>
    <w:rsid w:val="00275600"/>
    <w:rsid w:val="00283577"/>
    <w:rsid w:val="00283EFC"/>
    <w:rsid w:val="00290E57"/>
    <w:rsid w:val="0029229D"/>
    <w:rsid w:val="002977FC"/>
    <w:rsid w:val="002A15C4"/>
    <w:rsid w:val="002A2F18"/>
    <w:rsid w:val="002A5C0C"/>
    <w:rsid w:val="002B6AAE"/>
    <w:rsid w:val="002D4307"/>
    <w:rsid w:val="002D62B2"/>
    <w:rsid w:val="002D7381"/>
    <w:rsid w:val="002D7863"/>
    <w:rsid w:val="002E3A30"/>
    <w:rsid w:val="002E4338"/>
    <w:rsid w:val="002F5E01"/>
    <w:rsid w:val="00326E3B"/>
    <w:rsid w:val="003321A7"/>
    <w:rsid w:val="00335BC0"/>
    <w:rsid w:val="003376CB"/>
    <w:rsid w:val="00353325"/>
    <w:rsid w:val="0035698A"/>
    <w:rsid w:val="00360B51"/>
    <w:rsid w:val="00362F0A"/>
    <w:rsid w:val="003646BC"/>
    <w:rsid w:val="00366943"/>
    <w:rsid w:val="00370174"/>
    <w:rsid w:val="00374626"/>
    <w:rsid w:val="003772F6"/>
    <w:rsid w:val="00381FCA"/>
    <w:rsid w:val="003828C4"/>
    <w:rsid w:val="00385E41"/>
    <w:rsid w:val="00386200"/>
    <w:rsid w:val="00387576"/>
    <w:rsid w:val="003A5E75"/>
    <w:rsid w:val="003B66B0"/>
    <w:rsid w:val="003C23FD"/>
    <w:rsid w:val="003C5892"/>
    <w:rsid w:val="003C6FD3"/>
    <w:rsid w:val="003D4453"/>
    <w:rsid w:val="003D629A"/>
    <w:rsid w:val="003D71B3"/>
    <w:rsid w:val="00407C9E"/>
    <w:rsid w:val="0041022E"/>
    <w:rsid w:val="004149CC"/>
    <w:rsid w:val="0041765D"/>
    <w:rsid w:val="00485323"/>
    <w:rsid w:val="00487ED8"/>
    <w:rsid w:val="004911CB"/>
    <w:rsid w:val="00491918"/>
    <w:rsid w:val="004A10CD"/>
    <w:rsid w:val="004A2E7F"/>
    <w:rsid w:val="004A5A65"/>
    <w:rsid w:val="004B1485"/>
    <w:rsid w:val="004B6486"/>
    <w:rsid w:val="004C6ECA"/>
    <w:rsid w:val="004D6C2C"/>
    <w:rsid w:val="004D7D86"/>
    <w:rsid w:val="004E6202"/>
    <w:rsid w:val="004F1874"/>
    <w:rsid w:val="004F2034"/>
    <w:rsid w:val="004F585C"/>
    <w:rsid w:val="004F7F49"/>
    <w:rsid w:val="00504190"/>
    <w:rsid w:val="00510A23"/>
    <w:rsid w:val="00512707"/>
    <w:rsid w:val="0051514A"/>
    <w:rsid w:val="00515AC5"/>
    <w:rsid w:val="00520DC2"/>
    <w:rsid w:val="00521C96"/>
    <w:rsid w:val="00524A6F"/>
    <w:rsid w:val="00536F40"/>
    <w:rsid w:val="00542D5B"/>
    <w:rsid w:val="005470F3"/>
    <w:rsid w:val="00570997"/>
    <w:rsid w:val="00577AA8"/>
    <w:rsid w:val="005850CE"/>
    <w:rsid w:val="005A6D23"/>
    <w:rsid w:val="005B402E"/>
    <w:rsid w:val="005C1947"/>
    <w:rsid w:val="005C1E9D"/>
    <w:rsid w:val="005E03E7"/>
    <w:rsid w:val="005E75AB"/>
    <w:rsid w:val="00601F73"/>
    <w:rsid w:val="00625D15"/>
    <w:rsid w:val="00651611"/>
    <w:rsid w:val="00653AE2"/>
    <w:rsid w:val="00660B35"/>
    <w:rsid w:val="006652BC"/>
    <w:rsid w:val="006671C7"/>
    <w:rsid w:val="0068043B"/>
    <w:rsid w:val="00682640"/>
    <w:rsid w:val="006917CF"/>
    <w:rsid w:val="00692BD4"/>
    <w:rsid w:val="006B22F3"/>
    <w:rsid w:val="006B2E9A"/>
    <w:rsid w:val="006B2FD5"/>
    <w:rsid w:val="006B4B93"/>
    <w:rsid w:val="006B5C2D"/>
    <w:rsid w:val="006B6C16"/>
    <w:rsid w:val="006C0D5C"/>
    <w:rsid w:val="006C31E0"/>
    <w:rsid w:val="006D6F6C"/>
    <w:rsid w:val="006F07A1"/>
    <w:rsid w:val="006F239A"/>
    <w:rsid w:val="006F505D"/>
    <w:rsid w:val="006F675A"/>
    <w:rsid w:val="006F7203"/>
    <w:rsid w:val="007176BA"/>
    <w:rsid w:val="00722AEF"/>
    <w:rsid w:val="00737A6C"/>
    <w:rsid w:val="00743F01"/>
    <w:rsid w:val="00744AE4"/>
    <w:rsid w:val="00763D60"/>
    <w:rsid w:val="007833B1"/>
    <w:rsid w:val="00790E9B"/>
    <w:rsid w:val="007920AC"/>
    <w:rsid w:val="007A0F7E"/>
    <w:rsid w:val="007A42C5"/>
    <w:rsid w:val="007A65A1"/>
    <w:rsid w:val="007B0C2B"/>
    <w:rsid w:val="007B1FCF"/>
    <w:rsid w:val="007C1E8F"/>
    <w:rsid w:val="007C4620"/>
    <w:rsid w:val="007D03F8"/>
    <w:rsid w:val="007D5D92"/>
    <w:rsid w:val="007E337B"/>
    <w:rsid w:val="007E5EB3"/>
    <w:rsid w:val="00804E41"/>
    <w:rsid w:val="00811BC0"/>
    <w:rsid w:val="008231E8"/>
    <w:rsid w:val="008266B7"/>
    <w:rsid w:val="008368A1"/>
    <w:rsid w:val="00854B89"/>
    <w:rsid w:val="00855555"/>
    <w:rsid w:val="00881EF3"/>
    <w:rsid w:val="00883E7C"/>
    <w:rsid w:val="00886261"/>
    <w:rsid w:val="00894971"/>
    <w:rsid w:val="00895FA7"/>
    <w:rsid w:val="008B0107"/>
    <w:rsid w:val="008C0341"/>
    <w:rsid w:val="008C60C3"/>
    <w:rsid w:val="008D5731"/>
    <w:rsid w:val="008E1349"/>
    <w:rsid w:val="00933C22"/>
    <w:rsid w:val="009350B5"/>
    <w:rsid w:val="00936610"/>
    <w:rsid w:val="00937A78"/>
    <w:rsid w:val="0094204B"/>
    <w:rsid w:val="00953C08"/>
    <w:rsid w:val="00967546"/>
    <w:rsid w:val="00973C29"/>
    <w:rsid w:val="0097732D"/>
    <w:rsid w:val="00993208"/>
    <w:rsid w:val="009B14F4"/>
    <w:rsid w:val="009B1B0D"/>
    <w:rsid w:val="009B1C3D"/>
    <w:rsid w:val="009B32DD"/>
    <w:rsid w:val="009C005A"/>
    <w:rsid w:val="009D4BC2"/>
    <w:rsid w:val="009D5E5F"/>
    <w:rsid w:val="009D62B4"/>
    <w:rsid w:val="009E1448"/>
    <w:rsid w:val="009E3E41"/>
    <w:rsid w:val="00A05A06"/>
    <w:rsid w:val="00A164F2"/>
    <w:rsid w:val="00A26FCF"/>
    <w:rsid w:val="00A27B2D"/>
    <w:rsid w:val="00A31FA5"/>
    <w:rsid w:val="00A34F8C"/>
    <w:rsid w:val="00A359DA"/>
    <w:rsid w:val="00A37886"/>
    <w:rsid w:val="00A478F8"/>
    <w:rsid w:val="00A63176"/>
    <w:rsid w:val="00A70BA5"/>
    <w:rsid w:val="00A70D0C"/>
    <w:rsid w:val="00A744A6"/>
    <w:rsid w:val="00A77360"/>
    <w:rsid w:val="00A9794C"/>
    <w:rsid w:val="00AB0440"/>
    <w:rsid w:val="00AC3FC5"/>
    <w:rsid w:val="00AD340B"/>
    <w:rsid w:val="00AE3966"/>
    <w:rsid w:val="00AE4AE8"/>
    <w:rsid w:val="00AF11C6"/>
    <w:rsid w:val="00B002D1"/>
    <w:rsid w:val="00B057F1"/>
    <w:rsid w:val="00B1208F"/>
    <w:rsid w:val="00B143A9"/>
    <w:rsid w:val="00B4569E"/>
    <w:rsid w:val="00B45879"/>
    <w:rsid w:val="00B551EB"/>
    <w:rsid w:val="00B5544A"/>
    <w:rsid w:val="00B55F3D"/>
    <w:rsid w:val="00B64E5F"/>
    <w:rsid w:val="00B84AC8"/>
    <w:rsid w:val="00B90F8C"/>
    <w:rsid w:val="00B91C0B"/>
    <w:rsid w:val="00B97E24"/>
    <w:rsid w:val="00BA0BE6"/>
    <w:rsid w:val="00BA2122"/>
    <w:rsid w:val="00BA2F3A"/>
    <w:rsid w:val="00BF47F9"/>
    <w:rsid w:val="00BF6450"/>
    <w:rsid w:val="00C07688"/>
    <w:rsid w:val="00C12D43"/>
    <w:rsid w:val="00C260AB"/>
    <w:rsid w:val="00C302D6"/>
    <w:rsid w:val="00C32933"/>
    <w:rsid w:val="00C3314D"/>
    <w:rsid w:val="00C35053"/>
    <w:rsid w:val="00C75246"/>
    <w:rsid w:val="00C80B0B"/>
    <w:rsid w:val="00C91EDF"/>
    <w:rsid w:val="00C93CAB"/>
    <w:rsid w:val="00C95269"/>
    <w:rsid w:val="00C97447"/>
    <w:rsid w:val="00CC33BB"/>
    <w:rsid w:val="00CC6622"/>
    <w:rsid w:val="00D20F5D"/>
    <w:rsid w:val="00D376ED"/>
    <w:rsid w:val="00D40E4F"/>
    <w:rsid w:val="00D61560"/>
    <w:rsid w:val="00D638D0"/>
    <w:rsid w:val="00D67A0A"/>
    <w:rsid w:val="00D734B9"/>
    <w:rsid w:val="00D762A6"/>
    <w:rsid w:val="00D762BF"/>
    <w:rsid w:val="00D84564"/>
    <w:rsid w:val="00D958CF"/>
    <w:rsid w:val="00D968A7"/>
    <w:rsid w:val="00DA0E56"/>
    <w:rsid w:val="00DA2FB6"/>
    <w:rsid w:val="00DC2149"/>
    <w:rsid w:val="00DC789F"/>
    <w:rsid w:val="00DD3C40"/>
    <w:rsid w:val="00DD7275"/>
    <w:rsid w:val="00DE1C6C"/>
    <w:rsid w:val="00DE47C2"/>
    <w:rsid w:val="00DE5037"/>
    <w:rsid w:val="00DF054C"/>
    <w:rsid w:val="00DF648D"/>
    <w:rsid w:val="00DF65C1"/>
    <w:rsid w:val="00E008A4"/>
    <w:rsid w:val="00E06D7C"/>
    <w:rsid w:val="00E21963"/>
    <w:rsid w:val="00E22D9A"/>
    <w:rsid w:val="00E262A3"/>
    <w:rsid w:val="00E27271"/>
    <w:rsid w:val="00E32D2F"/>
    <w:rsid w:val="00E43960"/>
    <w:rsid w:val="00E51E95"/>
    <w:rsid w:val="00E5461B"/>
    <w:rsid w:val="00E708C9"/>
    <w:rsid w:val="00E74E05"/>
    <w:rsid w:val="00E74E35"/>
    <w:rsid w:val="00E75B93"/>
    <w:rsid w:val="00E801F9"/>
    <w:rsid w:val="00E86D2A"/>
    <w:rsid w:val="00E9123C"/>
    <w:rsid w:val="00E95800"/>
    <w:rsid w:val="00EB1C90"/>
    <w:rsid w:val="00EB4A17"/>
    <w:rsid w:val="00EC1EF8"/>
    <w:rsid w:val="00EC2547"/>
    <w:rsid w:val="00EC4079"/>
    <w:rsid w:val="00EE7D05"/>
    <w:rsid w:val="00EF17BC"/>
    <w:rsid w:val="00EF3B9C"/>
    <w:rsid w:val="00F04CAD"/>
    <w:rsid w:val="00F11982"/>
    <w:rsid w:val="00F2634D"/>
    <w:rsid w:val="00F31A20"/>
    <w:rsid w:val="00F332CE"/>
    <w:rsid w:val="00F35009"/>
    <w:rsid w:val="00F4083E"/>
    <w:rsid w:val="00F45BA7"/>
    <w:rsid w:val="00F51DD4"/>
    <w:rsid w:val="00F64D56"/>
    <w:rsid w:val="00F73621"/>
    <w:rsid w:val="00F82B11"/>
    <w:rsid w:val="00F873F0"/>
    <w:rsid w:val="00FA6D2B"/>
    <w:rsid w:val="00FB15DB"/>
    <w:rsid w:val="00FC7DA9"/>
    <w:rsid w:val="00FD2F99"/>
    <w:rsid w:val="00FD7A88"/>
    <w:rsid w:val="00FE5C5C"/>
    <w:rsid w:val="00FE76BC"/>
    <w:rsid w:val="00FF5039"/>
    <w:rsid w:val="00FF5055"/>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33B156D9-1AE4-4B1A-9B0D-3E7EAE86F8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ListParagraph">
    <w:name w:val="List Paragraph"/>
    <w:basedOn w:val="Normal"/>
    <w:uiPriority w:val="34"/>
    <w:qFormat/>
    <w:rsid w:val="00790E9B"/>
    <w:pPr>
      <w:ind w:left="720"/>
      <w:contextualSpacing/>
    </w:pPr>
  </w:style>
  <w:style w:type="paragraph" w:styleId="BalloonText">
    <w:name w:val="Balloon Text"/>
    <w:basedOn w:val="Normal"/>
    <w:link w:val="BalloonTextChar"/>
    <w:rsid w:val="00B1208F"/>
    <w:pPr>
      <w:spacing w:line="240" w:lineRule="auto"/>
    </w:pPr>
    <w:rPr>
      <w:rFonts w:ascii="Tahoma" w:hAnsi="Tahoma" w:cs="Tahoma"/>
      <w:sz w:val="16"/>
      <w:szCs w:val="16"/>
    </w:rPr>
  </w:style>
  <w:style w:type="character" w:customStyle="1" w:styleId="BalloonTextChar">
    <w:name w:val="Balloon Text Char"/>
    <w:basedOn w:val="DefaultParagraphFont"/>
    <w:link w:val="BalloonText"/>
    <w:rsid w:val="00B1208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BFEF91-81B8-40C8-B579-7098849884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FiscalNoteEstimate</Template>
  <TotalTime>0</TotalTime>
  <Pages>2</Pages>
  <Words>556</Words>
  <Characters>3158</Characters>
  <Application>Microsoft Office Word</Application>
  <DocSecurity>0</DocSecurity>
  <Lines>93</Lines>
  <Paragraphs>40</Paragraphs>
  <ScaleCrop>false</ScaleCrop>
  <HeadingPairs>
    <vt:vector size="2" baseType="variant">
      <vt:variant>
        <vt:lpstr>Title</vt:lpstr>
      </vt:variant>
      <vt:variant>
        <vt:i4>1</vt:i4>
      </vt:variant>
    </vt:vector>
  </HeadingPairs>
  <TitlesOfParts>
    <vt:vector size="1" baseType="lpstr">
      <vt:lpstr>A5784   FISCAL ESTIMATE</vt:lpstr>
    </vt:vector>
  </TitlesOfParts>
  <Manager>Tracey Pino Murphy ;R230</Manager>
  <Company>Office of Legislative Services</Company>
  <LinksUpToDate>false</LinksUpToDate>
  <CharactersWithSpaces>3726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A5784   FISCAL ESTIMATE</dc:title>
  <dc:subject>para/hemi plegic, service-connect disab</dc:subject>
  <dc:creator>Assemblywoman TUCKER Assemblywoman GOVE</dc:creator>
  <cp:keywords>A5784|2|SG |216|0|0|!||</cp:keywords>
  <dc:description>sponsor 6/24 BPU 6/29</dc:description>
  <cp:lastModifiedBy>Bektas, Brenda</cp:lastModifiedBy>
  <cp:revision>2</cp:revision>
  <cp:lastPrinted>2021-06-23T19:57:00Z</cp:lastPrinted>
  <dcterms:created xsi:type="dcterms:W3CDTF">2021-06-29T16:40:00Z</dcterms:created>
  <dcterms:modified xsi:type="dcterms:W3CDTF">2021-06-29T16:40:00Z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