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EF7" w:rsidRDefault="00594EF7" w:rsidP="00594EF7">
      <w:pPr>
        <w:pStyle w:val="bpuBill"/>
      </w:pPr>
      <w:bookmarkStart w:id="0" w:name="bpuFrontPg"/>
      <w:bookmarkEnd w:id="0"/>
      <w:r>
        <w:t xml:space="preserve">ASSEMBLY CONCURRENT RESOLUTION No. 122 </w:t>
      </w:r>
    </w:p>
    <w:bookmarkStart w:id="1" w:name="_GoBack"/>
    <w:bookmarkEnd w:id="1"/>
    <w:p w:rsidR="00594EF7" w:rsidRPr="009D38FF" w:rsidRDefault="00594EF7" w:rsidP="00594E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599" r:id="rId7"/>
        </w:object>
      </w:r>
    </w:p>
    <w:p w:rsidR="00594EF7" w:rsidRDefault="00594EF7" w:rsidP="00594EF7">
      <w:pPr>
        <w:pStyle w:val="bpuState"/>
      </w:pPr>
      <w:r>
        <w:t>STATE OF NEW JERSEY</w:t>
      </w:r>
    </w:p>
    <w:p w:rsidR="00594EF7" w:rsidRDefault="00594EF7" w:rsidP="00594EF7">
      <w:pPr>
        <w:pStyle w:val="bpuLegislature"/>
      </w:pPr>
      <w:proofErr w:type="gramStart"/>
      <w:r>
        <w:t>219th</w:t>
      </w:r>
      <w:proofErr w:type="gramEnd"/>
      <w:r>
        <w:t xml:space="preserve"> LEGISLATURE</w:t>
      </w:r>
    </w:p>
    <w:p w:rsidR="00594EF7" w:rsidRDefault="00594EF7" w:rsidP="00594EF7">
      <w:pPr>
        <w:pStyle w:val="bpuWpGraphic"/>
      </w:pPr>
      <w:r>
        <w:object w:dxaOrig="8985" w:dyaOrig="255">
          <v:shape id="_x0000_i1026" type="#_x0000_t75" style="width:6in;height:11.8pt" o:ole="">
            <v:imagedata r:id="rId6" o:title=""/>
          </v:shape>
          <o:OLEObject Type="Embed" ProgID="WPWin6.1" ShapeID="_x0000_i1026" DrawAspect="Content" ObjectID="_1643783600" r:id="rId8"/>
        </w:object>
      </w:r>
      <w:r>
        <w:t xml:space="preserve">  </w:t>
      </w:r>
    </w:p>
    <w:p w:rsidR="00594EF7" w:rsidRDefault="00594EF7" w:rsidP="00594EF7">
      <w:pPr>
        <w:pStyle w:val="bpuIntro"/>
      </w:pPr>
      <w:r>
        <w:t>INTRODUCED FEBRUARY 20, 2020</w:t>
      </w:r>
    </w:p>
    <w:p w:rsidR="00594EF7" w:rsidRDefault="00594EF7" w:rsidP="00594EF7">
      <w:pPr>
        <w:pStyle w:val="bpuIntro"/>
      </w:pPr>
    </w:p>
    <w:p w:rsidR="00594EF7" w:rsidRDefault="00594EF7" w:rsidP="00594EF7">
      <w:pPr>
        <w:pStyle w:val="bpuIntro"/>
        <w:sectPr w:rsidR="00594EF7" w:rsidSect="00594EF7">
          <w:headerReference w:type="even" r:id="rId9"/>
          <w:headerReference w:type="default" r:id="rId10"/>
          <w:pgSz w:w="12240" w:h="20160" w:code="5"/>
          <w:pgMar w:top="2160" w:right="1440" w:bottom="1440" w:left="1440" w:header="72" w:footer="720" w:gutter="0"/>
          <w:pgNumType w:start="1"/>
          <w:cols w:space="720"/>
          <w:docGrid w:linePitch="360"/>
        </w:sectPr>
      </w:pPr>
    </w:p>
    <w:p w:rsidR="00594EF7" w:rsidRDefault="00594EF7" w:rsidP="00594EF7">
      <w:pPr>
        <w:pStyle w:val="bpuIntro"/>
      </w:pPr>
    </w:p>
    <w:p w:rsidR="00594EF7" w:rsidRDefault="00594EF7" w:rsidP="00594EF7">
      <w:pPr>
        <w:pStyle w:val="bpuSponsor"/>
      </w:pPr>
      <w:r>
        <w:t>Sponsored by:</w:t>
      </w:r>
    </w:p>
    <w:p w:rsidR="00594EF7" w:rsidRDefault="00594EF7" w:rsidP="00594EF7">
      <w:pPr>
        <w:pStyle w:val="bpuSponsor"/>
      </w:pPr>
      <w:proofErr w:type="gramStart"/>
      <w:r>
        <w:t>Assemblyman  PARKER</w:t>
      </w:r>
      <w:proofErr w:type="gramEnd"/>
      <w:r>
        <w:t xml:space="preserve"> SPACE</w:t>
      </w:r>
    </w:p>
    <w:p w:rsidR="00594EF7" w:rsidRDefault="00594EF7" w:rsidP="00594EF7">
      <w:pPr>
        <w:pStyle w:val="bpuSponsor"/>
      </w:pPr>
      <w:r>
        <w:t>District 24 (Morris, Sussex and Warren)</w:t>
      </w:r>
    </w:p>
    <w:p w:rsidR="00594EF7" w:rsidRDefault="00594EF7" w:rsidP="00594EF7">
      <w:pPr>
        <w:pStyle w:val="bpuSponsor"/>
      </w:pPr>
    </w:p>
    <w:p w:rsidR="00594EF7" w:rsidRDefault="00594EF7" w:rsidP="00594EF7">
      <w:pPr>
        <w:pStyle w:val="bpuSponsor"/>
      </w:pPr>
    </w:p>
    <w:p w:rsidR="00594EF7" w:rsidRDefault="00594EF7" w:rsidP="00594EF7">
      <w:pPr>
        <w:pStyle w:val="bpuSponsor"/>
      </w:pPr>
    </w:p>
    <w:p w:rsidR="00594EF7" w:rsidRDefault="00594EF7" w:rsidP="00594EF7">
      <w:pPr>
        <w:pStyle w:val="bpuSponsor"/>
      </w:pPr>
    </w:p>
    <w:p w:rsidR="00594EF7" w:rsidRDefault="00594EF7" w:rsidP="00594EF7">
      <w:pPr>
        <w:pStyle w:val="bpuSponsor"/>
      </w:pPr>
      <w:r>
        <w:t>SYNOPSIS</w:t>
      </w:r>
    </w:p>
    <w:p w:rsidR="00594EF7" w:rsidRDefault="00594EF7" w:rsidP="00594EF7">
      <w:pPr>
        <w:pStyle w:val="bpuNormText"/>
      </w:pPr>
      <w:r>
        <w:tab/>
        <w:t xml:space="preserve">Urges parties to 1954 U.S. Supreme Court Decree to address ongoing risk of Delaware River Basin flooding. </w:t>
      </w:r>
    </w:p>
    <w:p w:rsidR="00594EF7" w:rsidRDefault="00594EF7" w:rsidP="00594EF7">
      <w:pPr>
        <w:pStyle w:val="bpuNormText"/>
      </w:pPr>
    </w:p>
    <w:p w:rsidR="00594EF7" w:rsidRDefault="00594EF7" w:rsidP="00594EF7">
      <w:pPr>
        <w:pStyle w:val="bpuSponsor"/>
      </w:pPr>
      <w:r>
        <w:t xml:space="preserve">CURRENT VERSION OF TEXT </w:t>
      </w:r>
    </w:p>
    <w:p w:rsidR="00594EF7" w:rsidRDefault="00594EF7" w:rsidP="00594EF7">
      <w:pPr>
        <w:pStyle w:val="bpuNormText"/>
      </w:pPr>
      <w:r>
        <w:tab/>
        <w:t>As introduced.</w:t>
      </w:r>
    </w:p>
    <w:p w:rsidR="00594EF7" w:rsidRDefault="00594EF7" w:rsidP="00594E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4EF7" w:rsidRDefault="00594EF7" w:rsidP="008916EC">
      <w:pPr>
        <w:pStyle w:val="FronterPage"/>
        <w:tabs>
          <w:tab w:val="clear" w:pos="720"/>
          <w:tab w:val="clear" w:pos="1440"/>
          <w:tab w:val="clear" w:pos="2160"/>
          <w:tab w:val="clear" w:pos="2880"/>
          <w:tab w:val="clear" w:pos="3600"/>
          <w:tab w:val="clear" w:pos="4320"/>
          <w:tab w:val="clear" w:pos="5040"/>
        </w:tabs>
        <w:sectPr w:rsidR="00594EF7" w:rsidSect="00594EF7">
          <w:type w:val="continuous"/>
          <w:pgSz w:w="12240" w:h="20160" w:code="5"/>
          <w:pgMar w:top="1440" w:right="2275" w:bottom="1440" w:left="2275" w:header="72" w:footer="720" w:gutter="0"/>
          <w:pgNumType w:start="1"/>
          <w:cols w:space="720"/>
          <w:docGrid w:linePitch="360"/>
        </w:sectPr>
      </w:pPr>
    </w:p>
    <w:p w:rsidR="00B65890" w:rsidRDefault="00B65890" w:rsidP="00444B4E">
      <w:pPr>
        <w:pStyle w:val="HangingAnAct"/>
      </w:pPr>
      <w:r w:rsidRPr="00B65890">
        <w:rPr>
          <w:rStyle w:val="BillHead"/>
        </w:rPr>
        <w:lastRenderedPageBreak/>
        <w:t>A Concurrent Resolution</w:t>
      </w:r>
      <w:r w:rsidRPr="006B7FA7">
        <w:rPr>
          <w:rStyle w:val="HangingAnActChar"/>
        </w:rPr>
        <w:t xml:space="preserve"> </w:t>
      </w:r>
      <w:r>
        <w:t>urging the parties to the 1954 United States Supreme Court Decree to address the ongoing risk of Delaware River Basin flooding.</w:t>
      </w:r>
    </w:p>
    <w:p w:rsidR="00B65890" w:rsidRDefault="00B65890" w:rsidP="00B65890"/>
    <w:p w:rsidR="00B65890" w:rsidRDefault="00B65890" w:rsidP="00B65890">
      <w:pPr>
        <w:pStyle w:val="IndentHang"/>
      </w:pPr>
      <w:r w:rsidRPr="00391B81">
        <w:rPr>
          <w:b/>
          <w:bCs/>
          <w:smallCaps/>
        </w:rPr>
        <w:t>Whereas,</w:t>
      </w:r>
      <w:r w:rsidRPr="001C43C8">
        <w:t xml:space="preserve"> </w:t>
      </w:r>
      <w:r>
        <w:t xml:space="preserve">The Delaware River is the longest, undammed river in the United States east of the Mississippi, flowing through New York, Pennsylvania, New Jersey, and Delaware; and </w:t>
      </w:r>
    </w:p>
    <w:p w:rsidR="00B65890" w:rsidRDefault="00B65890" w:rsidP="00B65890">
      <w:pPr>
        <w:pStyle w:val="IndentHang"/>
      </w:pPr>
      <w:r w:rsidRPr="00391B81">
        <w:rPr>
          <w:b/>
          <w:bCs/>
          <w:smallCaps/>
        </w:rPr>
        <w:t>Whereas,</w:t>
      </w:r>
      <w:r>
        <w:t xml:space="preserve"> Nearly two million New Jersey residents live in the Delaware River Basin, and rely on the river for drinking, agricultural, industrial, and recreational uses; and </w:t>
      </w:r>
    </w:p>
    <w:p w:rsidR="00B65890" w:rsidRDefault="00B65890" w:rsidP="00B65890">
      <w:pPr>
        <w:pStyle w:val="IndentHang"/>
      </w:pPr>
      <w:r w:rsidRPr="00391B81">
        <w:rPr>
          <w:b/>
          <w:bCs/>
          <w:smallCaps/>
        </w:rPr>
        <w:t>Whereas,</w:t>
      </w:r>
      <w:r w:rsidRPr="001C43C8">
        <w:t xml:space="preserve"> </w:t>
      </w:r>
      <w:r>
        <w:t xml:space="preserve">The </w:t>
      </w:r>
      <w:smartTag w:uri="urn:schemas-microsoft-com:office:smarttags" w:element="place">
        <w:r>
          <w:t>Delaware River</w:t>
        </w:r>
      </w:smartTag>
      <w:r>
        <w:t xml:space="preserve"> has historically flooded, endangering human life and property, damaging public infrastructure, and disrupting business in the State; and </w:t>
      </w:r>
    </w:p>
    <w:p w:rsidR="00B65890" w:rsidRDefault="00B65890" w:rsidP="00B65890">
      <w:pPr>
        <w:pStyle w:val="IndentHang"/>
      </w:pPr>
      <w:r w:rsidRPr="00391B81">
        <w:rPr>
          <w:b/>
          <w:bCs/>
          <w:smallCaps/>
        </w:rPr>
        <w:t>Whereas,</w:t>
      </w:r>
      <w:r>
        <w:t xml:space="preserve"> Between September 2004 and June 2006, three of the worst floods on record ravaged New Jersey, causing widespread property damage, and disrupting the lives of tens of thousands of State residents; and</w:t>
      </w:r>
    </w:p>
    <w:p w:rsidR="00B65890" w:rsidRDefault="00B65890" w:rsidP="00B65890">
      <w:pPr>
        <w:pStyle w:val="IndentHang"/>
      </w:pPr>
      <w:r w:rsidRPr="00391B81">
        <w:rPr>
          <w:b/>
          <w:bCs/>
          <w:smallCaps/>
        </w:rPr>
        <w:t>Whereas,</w:t>
      </w:r>
      <w:r w:rsidRPr="001C43C8">
        <w:t xml:space="preserve"> </w:t>
      </w:r>
      <w:r>
        <w:t xml:space="preserve">Substantial flooding has repeatedly occurred in several areas of the State located downstream from the </w:t>
      </w:r>
      <w:smartTag w:uri="urn:schemas-microsoft-com:office:smarttags" w:element="place">
        <w:smartTag w:uri="urn:schemas-microsoft-com:office:smarttags" w:element="City">
          <w:r>
            <w:t>New York City</w:t>
          </w:r>
        </w:smartTag>
      </w:smartTag>
      <w:r>
        <w:t xml:space="preserve"> reservoirs, which were at or near capacity when the flooding occurred; and </w:t>
      </w:r>
    </w:p>
    <w:p w:rsidR="00B65890" w:rsidRPr="004412E6" w:rsidRDefault="00B65890" w:rsidP="00B65890">
      <w:pPr>
        <w:pStyle w:val="IndentHang"/>
      </w:pPr>
      <w:r w:rsidRPr="00391B81">
        <w:rPr>
          <w:b/>
          <w:bCs/>
          <w:smallCaps/>
        </w:rPr>
        <w:t>Whereas,</w:t>
      </w:r>
      <w:r w:rsidRPr="001C43C8">
        <w:t xml:space="preserve"> </w:t>
      </w:r>
      <w:r>
        <w:t xml:space="preserve">When its reservoirs are filled to capacity, New York is unable to provide flood controls downstream during significant rainfalls, presenting a dangerous and unnecessary threat to the lives and properties of New Jersey residents; and </w:t>
      </w:r>
    </w:p>
    <w:p w:rsidR="00B65890" w:rsidRDefault="00B65890" w:rsidP="00B65890">
      <w:pPr>
        <w:pStyle w:val="IndentHang"/>
      </w:pPr>
      <w:r w:rsidRPr="00391B81">
        <w:rPr>
          <w:b/>
          <w:bCs/>
          <w:smallCaps/>
        </w:rPr>
        <w:t>Whereas,</w:t>
      </w:r>
      <w:r w:rsidRPr="001C43C8">
        <w:t xml:space="preserve"> </w:t>
      </w:r>
      <w:r>
        <w:t xml:space="preserve">Several reports have indicated that the management of New York City reservoir levels is a significant factor in flooding that impacts people living downstream; and </w:t>
      </w:r>
    </w:p>
    <w:p w:rsidR="00B65890" w:rsidRDefault="00B65890" w:rsidP="00B65890">
      <w:pPr>
        <w:pStyle w:val="IndentHang"/>
      </w:pPr>
      <w:r w:rsidRPr="00391B81">
        <w:rPr>
          <w:b/>
          <w:bCs/>
          <w:smallCaps/>
        </w:rPr>
        <w:t>Whereas,</w:t>
      </w:r>
      <w:r w:rsidRPr="001C43C8">
        <w:t xml:space="preserve"> </w:t>
      </w:r>
      <w:r>
        <w:t xml:space="preserve">In 2007, Bucks County, Pennsylvania </w:t>
      </w:r>
      <w:proofErr w:type="spellStart"/>
      <w:r>
        <w:t>empanelled</w:t>
      </w:r>
      <w:proofErr w:type="spellEnd"/>
      <w:r>
        <w:t xml:space="preserve"> the Delaware River Flood Task Force to study the flood events of 2004, 2005, and 2006, and make recommendations to reduce the impact of flooding in county communities; and </w:t>
      </w:r>
    </w:p>
    <w:p w:rsidR="00B65890" w:rsidRDefault="00B65890" w:rsidP="00B65890">
      <w:pPr>
        <w:pStyle w:val="IndentHang"/>
      </w:pPr>
      <w:r w:rsidRPr="00391B81">
        <w:rPr>
          <w:b/>
          <w:bCs/>
          <w:smallCaps/>
        </w:rPr>
        <w:t>Whereas,</w:t>
      </w:r>
      <w:r w:rsidRPr="001C43C8">
        <w:t xml:space="preserve"> </w:t>
      </w:r>
      <w:r>
        <w:t xml:space="preserve">The task force concluded that establishing year-round voids in the New York City reservoirs would have a beneficial effect on flood levels downstream, and would reduce the number of properties flooded; and </w:t>
      </w:r>
    </w:p>
    <w:p w:rsidR="00B65890" w:rsidRDefault="00B65890" w:rsidP="00B65890">
      <w:pPr>
        <w:pStyle w:val="IndentHang"/>
      </w:pPr>
      <w:r w:rsidRPr="00391B81">
        <w:rPr>
          <w:b/>
          <w:bCs/>
          <w:smallCaps/>
        </w:rPr>
        <w:t>Whereas,</w:t>
      </w:r>
      <w:r w:rsidRPr="001C43C8">
        <w:t xml:space="preserve"> </w:t>
      </w:r>
      <w:r>
        <w:t xml:space="preserve">In 2007, the Delaware River Basin Interstate Flood Mitigation Task Force called for the development of a flood analysis computer model to test the impact that 20 percent year-round voids in the New York City reservoirs would have on flooding downstream; and </w:t>
      </w:r>
    </w:p>
    <w:p w:rsidR="00B65890" w:rsidRDefault="00B65890" w:rsidP="00B65890">
      <w:pPr>
        <w:pStyle w:val="IndentHang"/>
      </w:pPr>
      <w:r w:rsidRPr="00391B81">
        <w:rPr>
          <w:b/>
          <w:bCs/>
          <w:smallCaps/>
        </w:rPr>
        <w:t>Whereas,</w:t>
      </w:r>
      <w:r w:rsidRPr="001C43C8">
        <w:t xml:space="preserve"> </w:t>
      </w:r>
      <w:r>
        <w:t xml:space="preserve">The model indicated that approximately 214 structures flooded in 2006 in Trenton, Ewing, Hopewell, Lambertville, Stockton, Phillipsburg, Harmony, and Belvidere would not have been flooded with the 20 percent voids; and </w:t>
      </w:r>
    </w:p>
    <w:p w:rsidR="00B65890" w:rsidRDefault="00B65890" w:rsidP="00B65890">
      <w:pPr>
        <w:pStyle w:val="IndentHang"/>
      </w:pPr>
      <w:r w:rsidRPr="00391B81">
        <w:rPr>
          <w:b/>
          <w:bCs/>
          <w:smallCaps/>
        </w:rPr>
        <w:t>Whereas,</w:t>
      </w:r>
      <w:r w:rsidRPr="001C43C8">
        <w:t xml:space="preserve"> </w:t>
      </w:r>
      <w:r>
        <w:t xml:space="preserve">Requiring New York City to maintain adequate, year-round voids in its reservoirs serves the public interest by minimizing the loss of life and property caused by floods; and </w:t>
      </w:r>
    </w:p>
    <w:p w:rsidR="00B65890" w:rsidRDefault="00B65890" w:rsidP="00B65890">
      <w:pPr>
        <w:pStyle w:val="IndentHang"/>
      </w:pPr>
      <w:r w:rsidRPr="00391B81">
        <w:rPr>
          <w:b/>
          <w:bCs/>
          <w:smallCaps/>
        </w:rPr>
        <w:lastRenderedPageBreak/>
        <w:t>Whereas,</w:t>
      </w:r>
      <w:r w:rsidRPr="001C43C8">
        <w:t xml:space="preserve"> </w:t>
      </w:r>
      <w:r>
        <w:t xml:space="preserve">Management of the flows and levels of </w:t>
      </w:r>
      <w:smartTag w:uri="urn:schemas-microsoft-com:office:smarttags" w:element="City">
        <w:r>
          <w:t>New York City</w:t>
        </w:r>
      </w:smartTag>
      <w:r>
        <w:t xml:space="preserve"> reservoirs is subject to a 1954 United States Supreme Court decree, established in </w:t>
      </w:r>
      <w:smartTag w:uri="urn:schemas-microsoft-com:office:smarttags" w:element="place">
        <w:smartTag w:uri="urn:schemas-microsoft-com:office:smarttags" w:element="State">
          <w:r w:rsidRPr="00FC4C38">
            <w:rPr>
              <w:u w:val="single"/>
            </w:rPr>
            <w:t>New Jersey</w:t>
          </w:r>
        </w:smartTag>
      </w:smartTag>
      <w:r>
        <w:t xml:space="preserve"> v. </w:t>
      </w:r>
      <w:smartTag w:uri="urn:schemas-microsoft-com:office:smarttags" w:element="State">
        <w:r w:rsidRPr="00FC4C38">
          <w:rPr>
            <w:u w:val="single"/>
          </w:rPr>
          <w:t>New York</w:t>
        </w:r>
      </w:smartTag>
      <w:r>
        <w:t xml:space="preserve">, 347 </w:t>
      </w:r>
      <w:smartTag w:uri="urn:schemas-microsoft-com:office:smarttags" w:element="country-region">
        <w:r w:rsidRPr="00FC4C38">
          <w:rPr>
            <w:u w:val="single"/>
          </w:rPr>
          <w:t>U.S.</w:t>
        </w:r>
      </w:smartTag>
      <w:r>
        <w:t xml:space="preserve"> 995 (1954), to which </w:t>
      </w:r>
      <w:smartTag w:uri="urn:schemas-microsoft-com:office:smarttags" w:element="State">
        <w:r>
          <w:t>New Jersey</w:t>
        </w:r>
      </w:smartTag>
      <w:r>
        <w:t xml:space="preserve">, </w:t>
      </w:r>
      <w:smartTag w:uri="urn:schemas-microsoft-com:office:smarttags" w:element="City">
        <w:r>
          <w:t>New York</w:t>
        </w:r>
      </w:smartTag>
      <w:r>
        <w:t xml:space="preserve">, </w:t>
      </w:r>
      <w:smartTag w:uri="urn:schemas-microsoft-com:office:smarttags" w:element="State">
        <w:r>
          <w:t>New York</w:t>
        </w:r>
      </w:smartTag>
      <w:r>
        <w:t xml:space="preserve"> City, </w:t>
      </w:r>
      <w:smartTag w:uri="urn:schemas-microsoft-com:office:smarttags" w:element="State">
        <w:r>
          <w:t>Pennsylvania</w:t>
        </w:r>
      </w:smartTag>
      <w:r>
        <w:t xml:space="preserve">, and </w:t>
      </w:r>
      <w:smartTag w:uri="urn:schemas-microsoft-com:office:smarttags" w:element="place">
        <w:smartTag w:uri="urn:schemas-microsoft-com:office:smarttags" w:element="State">
          <w:r>
            <w:t>Delaware</w:t>
          </w:r>
        </w:smartTag>
      </w:smartTag>
      <w:r>
        <w:t xml:space="preserve"> are parties; and </w:t>
      </w:r>
    </w:p>
    <w:p w:rsidR="00B65890" w:rsidRDefault="00B65890" w:rsidP="00B65890">
      <w:pPr>
        <w:pStyle w:val="IndentHang"/>
      </w:pPr>
      <w:r w:rsidRPr="00391B81">
        <w:rPr>
          <w:b/>
          <w:bCs/>
          <w:smallCaps/>
        </w:rPr>
        <w:t>Whereas,</w:t>
      </w:r>
      <w:r w:rsidRPr="001C43C8">
        <w:t xml:space="preserve"> </w:t>
      </w:r>
      <w:r>
        <w:t>Under that decree, and subsequent agreements between the parties, New York City is allowed to fill its reservoirs to 105 percent capacity during the period of May 1 to June 15, a period when flooding has occurred historically; and</w:t>
      </w:r>
    </w:p>
    <w:p w:rsidR="00B65890" w:rsidRDefault="00B65890" w:rsidP="00B65890">
      <w:pPr>
        <w:pStyle w:val="IndentHang"/>
      </w:pPr>
      <w:r w:rsidRPr="00391B81">
        <w:rPr>
          <w:b/>
          <w:bCs/>
          <w:smallCaps/>
        </w:rPr>
        <w:t>Whereas,</w:t>
      </w:r>
      <w:r w:rsidRPr="001C43C8">
        <w:t xml:space="preserve"> </w:t>
      </w:r>
      <w:r>
        <w:t>Each party to the 1954 Decree has standing to call upon the United States Supreme Court to amend the decree, and demand that New York City maintain year-round voids in its reservoirs in order to mitigate the devastating effects of floods on people living downstream; and</w:t>
      </w:r>
    </w:p>
    <w:p w:rsidR="00B65890" w:rsidRPr="006641DE" w:rsidRDefault="00B65890" w:rsidP="00B65890">
      <w:pPr>
        <w:pStyle w:val="IndentHang"/>
      </w:pPr>
      <w:r w:rsidRPr="00391B81">
        <w:rPr>
          <w:b/>
          <w:bCs/>
          <w:smallCaps/>
        </w:rPr>
        <w:t>Whereas,</w:t>
      </w:r>
      <w:r w:rsidRPr="001C43C8">
        <w:t xml:space="preserve"> </w:t>
      </w:r>
      <w:r>
        <w:t>Numerous counties in New Jersey have passed resolutions urging the parties to the decree to demand that New York City maintain year-round 10 percent voids in its reservoirs; now, therefore,</w:t>
      </w:r>
    </w:p>
    <w:p w:rsidR="00B65890" w:rsidRPr="00D71D68" w:rsidRDefault="00B65890" w:rsidP="00B65890"/>
    <w:p w:rsidR="00B65890" w:rsidRPr="00AA7880" w:rsidRDefault="00B65890" w:rsidP="00B65890">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B65890" w:rsidRPr="00D71D68" w:rsidRDefault="00B65890" w:rsidP="00B65890"/>
    <w:p w:rsidR="00B65890" w:rsidRDefault="00B65890" w:rsidP="00B65890">
      <w:r>
        <w:tab/>
        <w:t>1.</w:t>
      </w:r>
      <w:r>
        <w:tab/>
        <w:t>The Legislature urges the Governors of New Jersey, New York, Pennsylvania, and Delaware to address the ongoing risk of Delaware River Basin flooding by petitioning the United States Supreme Court to amend the 1954 Decree to require New York City to maintain adequate year-round voids in its reservoirs.</w:t>
      </w:r>
    </w:p>
    <w:p w:rsidR="00B65890" w:rsidRDefault="00B65890" w:rsidP="00B65890"/>
    <w:p w:rsidR="00B65890" w:rsidRPr="00AA7880" w:rsidRDefault="00B65890" w:rsidP="00B65890">
      <w:r>
        <w:tab/>
        <w:t>2.</w:t>
      </w:r>
      <w:r>
        <w:tab/>
        <w:t>Copies of this resolution, as filed with the Secretary of State, shall be transmitted by the Clerk of the General Assembly or the Secretary of the Senate to the Governors of New Jersey, New York, Pennsylvania, and Delaware.</w:t>
      </w:r>
    </w:p>
    <w:p w:rsidR="00B65890" w:rsidRDefault="00B65890" w:rsidP="00B65890"/>
    <w:p w:rsidR="00B65890" w:rsidRPr="00CE7BD8" w:rsidRDefault="00B65890" w:rsidP="00B65890"/>
    <w:p w:rsidR="00B65890" w:rsidRPr="00AA7880" w:rsidRDefault="00B65890" w:rsidP="00B65890">
      <w:pPr>
        <w:jc w:val="center"/>
      </w:pPr>
      <w:r w:rsidRPr="00D71D68">
        <w:t>STATEMENT</w:t>
      </w:r>
    </w:p>
    <w:p w:rsidR="00B65890" w:rsidRDefault="00B65890" w:rsidP="00B65890"/>
    <w:p w:rsidR="00B65890" w:rsidRDefault="00B65890" w:rsidP="00B65890">
      <w:r>
        <w:tab/>
        <w:t xml:space="preserve">This resolution urges the parties to the 1954 United States Supreme Court Decree to address the ongoing risk of </w:t>
      </w:r>
      <w:smartTag w:uri="urn:schemas-microsoft-com:office:smarttags" w:element="place">
        <w:smartTag w:uri="urn:schemas-microsoft-com:office:smarttags" w:element="PlaceName">
          <w:r>
            <w:t>Delaware</w:t>
          </w:r>
        </w:smartTag>
        <w:r>
          <w:t xml:space="preserve"> </w:t>
        </w:r>
        <w:smartTag w:uri="urn:schemas-microsoft-com:office:smarttags" w:element="PlaceType">
          <w:r>
            <w:t>River Basin</w:t>
          </w:r>
        </w:smartTag>
      </w:smartTag>
      <w:r>
        <w:t xml:space="preserve"> flooding. </w:t>
      </w:r>
    </w:p>
    <w:p w:rsidR="00B65890" w:rsidRDefault="00B65890" w:rsidP="00B65890">
      <w:r>
        <w:tab/>
        <w:t xml:space="preserve">The Delaware River is the longest, undammed river in the </w:t>
      </w:r>
      <w:smartTag w:uri="urn:schemas-microsoft-com:office:smarttags" w:element="country-region">
        <w:r>
          <w:t>United States</w:t>
        </w:r>
      </w:smartTag>
      <w:r>
        <w:t xml:space="preserve"> east of the </w:t>
      </w:r>
      <w:smartTag w:uri="urn:schemas-microsoft-com:office:smarttags" w:element="place">
        <w:smartTag w:uri="urn:schemas-microsoft-com:office:smarttags" w:element="State">
          <w:r>
            <w:t>Mississippi</w:t>
          </w:r>
        </w:smartTag>
      </w:smartTag>
      <w:r>
        <w:t xml:space="preserve">.  Nearly two million </w:t>
      </w:r>
      <w:smartTag w:uri="urn:schemas-microsoft-com:office:smarttags" w:element="State">
        <w:r>
          <w:t>New Jersey</w:t>
        </w:r>
      </w:smartTag>
      <w:r>
        <w:t xml:space="preserve"> residents live in the </w:t>
      </w:r>
      <w:smartTag w:uri="urn:schemas-microsoft-com:office:smarttags" w:element="place">
        <w:smartTag w:uri="urn:schemas-microsoft-com:office:smarttags" w:element="PlaceName">
          <w:r>
            <w:t>Delaware</w:t>
          </w:r>
        </w:smartTag>
        <w:r>
          <w:t xml:space="preserve"> </w:t>
        </w:r>
        <w:smartTag w:uri="urn:schemas-microsoft-com:office:smarttags" w:element="PlaceType">
          <w:r>
            <w:t>River Basin</w:t>
          </w:r>
        </w:smartTag>
      </w:smartTag>
      <w:r>
        <w:t xml:space="preserve">, and rely on the river for drinking water.  The river has historically flooded, endangering human life and property.  Much of the flooding has occurred in areas of the State located downstream from the </w:t>
      </w:r>
      <w:smartTag w:uri="urn:schemas-microsoft-com:office:smarttags" w:element="place">
        <w:smartTag w:uri="urn:schemas-microsoft-com:office:smarttags" w:element="City">
          <w:r>
            <w:t>New York City</w:t>
          </w:r>
        </w:smartTag>
      </w:smartTag>
      <w:r>
        <w:t xml:space="preserve"> reservoirs, which were at or near capacity when the flooding occurred.  When </w:t>
      </w:r>
      <w:smartTag w:uri="urn:schemas-microsoft-com:office:smarttags" w:element="State">
        <w:r>
          <w:t>New York</w:t>
        </w:r>
      </w:smartTag>
      <w:r>
        <w:t xml:space="preserve">’s reservoirs are completely filled, the state can no longer provide flood controls downstream, presenting a </w:t>
      </w:r>
      <w:r>
        <w:lastRenderedPageBreak/>
        <w:t xml:space="preserve">dangerous and unnecessary threat to the lives and properties of </w:t>
      </w:r>
      <w:smartTag w:uri="urn:schemas-microsoft-com:office:smarttags" w:element="place">
        <w:smartTag w:uri="urn:schemas-microsoft-com:office:smarttags" w:element="State">
          <w:r>
            <w:t>New Jersey</w:t>
          </w:r>
        </w:smartTag>
      </w:smartTag>
      <w:r>
        <w:t xml:space="preserve"> residents.  Reports issued by the Delaware River Flood Task Force and the Delaware River Basin Interstate Flood Mitigation Task Force support this view.</w:t>
      </w:r>
    </w:p>
    <w:p w:rsidR="00B65890" w:rsidRDefault="00B65890" w:rsidP="00B65890">
      <w:r>
        <w:tab/>
        <w:t xml:space="preserve">Requiring </w:t>
      </w:r>
      <w:smartTag w:uri="urn:schemas-microsoft-com:office:smarttags" w:element="place">
        <w:smartTag w:uri="urn:schemas-microsoft-com:office:smarttags" w:element="City">
          <w:r>
            <w:t>New York City</w:t>
          </w:r>
        </w:smartTag>
      </w:smartTag>
      <w:r>
        <w:t xml:space="preserve"> to maintain adequate, year-round voids in its reservoirs serves the public interest by minimizing the loss of life and property caused by floods.  Management of the flows and levels of </w:t>
      </w:r>
      <w:smartTag w:uri="urn:schemas-microsoft-com:office:smarttags" w:element="City">
        <w:r>
          <w:t>New York City</w:t>
        </w:r>
      </w:smartTag>
      <w:r>
        <w:t xml:space="preserve"> reservoirs is subject to a 1954 Supreme Court decree, to which </w:t>
      </w:r>
      <w:smartTag w:uri="urn:schemas-microsoft-com:office:smarttags" w:element="State">
        <w:r>
          <w:t>New Jersey</w:t>
        </w:r>
      </w:smartTag>
      <w:r>
        <w:t xml:space="preserve">, </w:t>
      </w:r>
      <w:smartTag w:uri="urn:schemas-microsoft-com:office:smarttags" w:element="City">
        <w:r>
          <w:t>New York</w:t>
        </w:r>
      </w:smartTag>
      <w:r>
        <w:t xml:space="preserve">, </w:t>
      </w:r>
      <w:smartTag w:uri="urn:schemas-microsoft-com:office:smarttags" w:element="State">
        <w:r>
          <w:t>New York</w:t>
        </w:r>
      </w:smartTag>
      <w:r>
        <w:t xml:space="preserve"> City, </w:t>
      </w:r>
      <w:smartTag w:uri="urn:schemas-microsoft-com:office:smarttags" w:element="State">
        <w:r>
          <w:t>Pennsylvania</w:t>
        </w:r>
      </w:smartTag>
      <w:r>
        <w:t xml:space="preserve">, and </w:t>
      </w:r>
      <w:smartTag w:uri="urn:schemas-microsoft-com:office:smarttags" w:element="place">
        <w:smartTag w:uri="urn:schemas-microsoft-com:office:smarttags" w:element="State">
          <w:r>
            <w:t>Delaware</w:t>
          </w:r>
        </w:smartTag>
      </w:smartTag>
      <w:r>
        <w:t xml:space="preserve"> are parties. Under that decree, and subsequent agreements between the parties, </w:t>
      </w:r>
      <w:smartTag w:uri="urn:schemas-microsoft-com:office:smarttags" w:element="State">
        <w:smartTag w:uri="urn:schemas-microsoft-com:office:smarttags" w:element="place">
          <w:r>
            <w:t>New York</w:t>
          </w:r>
        </w:smartTag>
      </w:smartTag>
      <w:r>
        <w:t xml:space="preserve"> may fill its reservoirs to 105 percent capacity during the period of May 1 to June 15 of each year, a period when flooding has historically occurred.  This resolution would urge the parties to call upon the Supreme Court to amend the decree, and demand that New York City maintain year-round voids in its reservoirs in order to mitigate the devastating effects of floods on people living downstream.</w:t>
      </w:r>
    </w:p>
    <w:sectPr w:rsidR="00B65890" w:rsidSect="00594E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CFE" w:rsidRDefault="00932CFE">
      <w:r>
        <w:separator/>
      </w:r>
    </w:p>
  </w:endnote>
  <w:endnote w:type="continuationSeparator" w:id="0">
    <w:p w:rsidR="00932CFE" w:rsidRDefault="00932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CFE" w:rsidRDefault="00932CFE">
      <w:r>
        <w:separator/>
      </w:r>
    </w:p>
  </w:footnote>
  <w:footnote w:type="continuationSeparator" w:id="0">
    <w:p w:rsidR="00932CFE" w:rsidRDefault="00932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1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4EF7" w:rsidRDefault="00594EF7" w:rsidP="00594EF7">
    <w:pPr>
      <w:pStyle w:val="bpuHeadSpon"/>
    </w:pPr>
    <w:r w:rsidRPr="00594EF7">
      <w:rPr>
        <w:rStyle w:val="bpuHeadSponChar"/>
      </w:rPr>
      <w:t>ACR122</w:t>
    </w:r>
    <w:r>
      <w:t xml:space="preserve"> SPACE</w:t>
    </w:r>
  </w:p>
  <w:p w:rsidR="00594EF7" w:rsidRDefault="00594EF7" w:rsidP="00594EF7">
    <w:pPr>
      <w:pStyle w:val="bpuHeadSpon"/>
    </w:pPr>
    <w:r>
      <w:fldChar w:fldCharType="begin"/>
    </w:r>
    <w:r>
      <w:instrText xml:space="preserve"> PAGE  \* MERGEFORMAT </w:instrText>
    </w:r>
    <w:r>
      <w:fldChar w:fldCharType="separate"/>
    </w:r>
    <w:r w:rsidR="00D21A96">
      <w:rPr>
        <w:noProof/>
      </w:rPr>
      <w:t>4</w:t>
    </w:r>
    <w:r>
      <w:fldChar w:fldCharType="end"/>
    </w:r>
  </w:p>
  <w:p w:rsidR="00594EF7" w:rsidRDefault="00594EF7" w:rsidP="00594E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4EF7" w:rsidRDefault="00594EF7" w:rsidP="00594EF7">
    <w:pPr>
      <w:pStyle w:val="bpuHeadSpon"/>
    </w:pPr>
    <w:r w:rsidRPr="00594EF7">
      <w:rPr>
        <w:rStyle w:val="bpuHeadSponChar"/>
      </w:rPr>
      <w:t>ACR122</w:t>
    </w:r>
    <w:r>
      <w:t xml:space="preserve"> SPACE</w:t>
    </w:r>
  </w:p>
  <w:p w:rsidR="00594EF7" w:rsidRDefault="00594EF7" w:rsidP="00594EF7">
    <w:pPr>
      <w:pStyle w:val="bpuHeadSpon"/>
    </w:pPr>
    <w:r>
      <w:fldChar w:fldCharType="begin"/>
    </w:r>
    <w:r>
      <w:instrText xml:space="preserve"> PAGE  \* MERGEFORMAT </w:instrText>
    </w:r>
    <w:r>
      <w:fldChar w:fldCharType="separate"/>
    </w:r>
    <w:r w:rsidR="00D21A96">
      <w:rPr>
        <w:noProof/>
      </w:rPr>
      <w:t>2</w:t>
    </w:r>
    <w:r>
      <w:fldChar w:fldCharType="end"/>
    </w:r>
  </w:p>
  <w:p w:rsidR="00594EF7" w:rsidRDefault="00594EF7" w:rsidP="00594E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39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B4E"/>
    <w:rsid w:val="0045118A"/>
    <w:rsid w:val="00455D51"/>
    <w:rsid w:val="00456BF9"/>
    <w:rsid w:val="00461057"/>
    <w:rsid w:val="004704A8"/>
    <w:rsid w:val="00471102"/>
    <w:rsid w:val="00471F18"/>
    <w:rsid w:val="004751A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EF7"/>
    <w:rsid w:val="005B3F92"/>
    <w:rsid w:val="005B479C"/>
    <w:rsid w:val="005B561E"/>
    <w:rsid w:val="005C07E4"/>
    <w:rsid w:val="005C2124"/>
    <w:rsid w:val="005C336F"/>
    <w:rsid w:val="005C7F3C"/>
    <w:rsid w:val="005E017C"/>
    <w:rsid w:val="005E50C6"/>
    <w:rsid w:val="005E723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A30"/>
    <w:rsid w:val="00932CF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2A0"/>
    <w:rsid w:val="009D7934"/>
    <w:rsid w:val="009D7CCF"/>
    <w:rsid w:val="009E5961"/>
    <w:rsid w:val="009F4FAC"/>
    <w:rsid w:val="00A017C0"/>
    <w:rsid w:val="00A11228"/>
    <w:rsid w:val="00A222C2"/>
    <w:rsid w:val="00A263B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1B"/>
    <w:rsid w:val="00B2574A"/>
    <w:rsid w:val="00B35D8A"/>
    <w:rsid w:val="00B45B34"/>
    <w:rsid w:val="00B57047"/>
    <w:rsid w:val="00B61D86"/>
    <w:rsid w:val="00B6342D"/>
    <w:rsid w:val="00B6589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A9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6568B3-B66B-439C-9DE3-5E959874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6589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9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5354</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ACR122</vt:lpstr>
    </vt:vector>
  </TitlesOfParts>
  <Manager>R229</Manager>
  <Company>NJ Office of Legislative Services</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ACR122</dc:title>
  <dc:subject/>
  <dc:creator>Assemblyman  SPACE</dc:creator>
  <cp:keywords>ACR122|4|EA |277|0|277|N|0|</cp:keywords>
  <dc:description>INTRODUCED FEBRUARY 20, 2020</dc:description>
  <cp:lastModifiedBy>Bell, Careema</cp:lastModifiedBy>
  <cp:revision>2</cp:revision>
  <cp:lastPrinted>2005-10-12T19:02:00Z</cp:lastPrinted>
  <dcterms:created xsi:type="dcterms:W3CDTF">2020-02-21T14:46:00Z</dcterms:created>
  <dcterms:modified xsi:type="dcterms:W3CDTF">2020-02-21T14:46:00Z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