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3375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COMMUNITY DEVELOPMENT AND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3375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CONCURRENT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153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3375F">
        <w:rPr>
          <w:caps/>
          <w:szCs w:val="24"/>
        </w:rPr>
        <w:t>JUNE 16, 2021</w:t>
      </w:r>
    </w:p>
    <w:p w:rsidR="00655CA3" w:rsidRDefault="00655CA3" w:rsidP="0083060A"/>
    <w:p w:rsidR="00051564" w:rsidRDefault="00051564" w:rsidP="00051564">
      <w:r>
        <w:tab/>
        <w:t>The Assembly Community Development and Affairs Committee reports favorably Assembly Concurrent Resolution No. 153.</w:t>
      </w:r>
    </w:p>
    <w:p w:rsidR="007D088A" w:rsidRDefault="007D088A" w:rsidP="007D088A">
      <w:r>
        <w:tab/>
        <w:t>This concurrent resolution urges t</w:t>
      </w:r>
      <w:r w:rsidRPr="0065334A">
        <w:t xml:space="preserve">he United States Congress to enact legislation </w:t>
      </w:r>
      <w:r>
        <w:t>to improve</w:t>
      </w:r>
      <w:r w:rsidRPr="0065334A">
        <w:t xml:space="preserve"> transparency, program design, and perf</w:t>
      </w:r>
      <w:r>
        <w:t>ormance measurement</w:t>
      </w:r>
      <w:r w:rsidRPr="0065334A">
        <w:t xml:space="preserve"> for opportunity funds and investments by those fund</w:t>
      </w:r>
      <w:r>
        <w:t>s</w:t>
      </w:r>
      <w:r w:rsidRPr="0065334A">
        <w:t xml:space="preserve"> in federal opportunity zones.  The </w:t>
      </w:r>
      <w:r>
        <w:t xml:space="preserve">concurrent resolution specifies that the federal </w:t>
      </w:r>
      <w:r w:rsidRPr="0065334A">
        <w:t xml:space="preserve">legislation should require that the United State Department of the Treasury analyze the impact of opportunity </w:t>
      </w:r>
      <w:r>
        <w:t>fund investments</w:t>
      </w:r>
      <w:r w:rsidRPr="0065334A">
        <w:t xml:space="preserve"> on individual opportunity zones </w:t>
      </w:r>
      <w:r>
        <w:t>related to</w:t>
      </w:r>
      <w:r w:rsidRPr="0065334A">
        <w:t xml:space="preserve"> race, employment, homeownership, affordable housing, minority-owned businesses, minority entrepreneurship, gentrification, sustainability, and economic development, and to report the findings annually, along with information related to return</w:t>
      </w:r>
      <w:r>
        <w:t>s on investment</w:t>
      </w:r>
      <w:r w:rsidRPr="0065334A">
        <w:t>, lost federal tax revenue, and deferred federal tax revenue.</w:t>
      </w:r>
    </w:p>
    <w:p w:rsidR="004B2ABF" w:rsidRDefault="00BA0081" w:rsidP="003A3FD6">
      <w:r>
        <w:tab/>
        <w:t xml:space="preserve">As released by the committee, this concurrent resolution is identical to Senate Concurrent Resolution No. 110, as that concurrent resolution was also reported by the committee on this date.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75F" w:rsidRDefault="00D3375F">
      <w:r>
        <w:separator/>
      </w:r>
    </w:p>
  </w:endnote>
  <w:endnote w:type="continuationSeparator" w:id="0">
    <w:p w:rsidR="00D3375F" w:rsidRDefault="00D33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75F" w:rsidRDefault="00D3375F">
      <w:r>
        <w:separator/>
      </w:r>
    </w:p>
  </w:footnote>
  <w:footnote w:type="continuationSeparator" w:id="0">
    <w:p w:rsidR="00D3375F" w:rsidRDefault="00D33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A3FD6" w:rsidP="003A3FD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A3FD6" w:rsidRDefault="003A3FD6" w:rsidP="003A3FD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75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156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173B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17138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029"/>
    <w:rsid w:val="00246107"/>
    <w:rsid w:val="00246613"/>
    <w:rsid w:val="00246FD7"/>
    <w:rsid w:val="00263BD8"/>
    <w:rsid w:val="00266602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3FD6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78C9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C551A"/>
    <w:rsid w:val="005E3EC4"/>
    <w:rsid w:val="005E6766"/>
    <w:rsid w:val="005F075C"/>
    <w:rsid w:val="005F5E32"/>
    <w:rsid w:val="00607913"/>
    <w:rsid w:val="00607F92"/>
    <w:rsid w:val="00624F04"/>
    <w:rsid w:val="00632A86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88A"/>
    <w:rsid w:val="007D0B68"/>
    <w:rsid w:val="007D7580"/>
    <w:rsid w:val="007E1834"/>
    <w:rsid w:val="007E2BE9"/>
    <w:rsid w:val="007E3B0B"/>
    <w:rsid w:val="007E64E2"/>
    <w:rsid w:val="007E6979"/>
    <w:rsid w:val="007E7FB5"/>
    <w:rsid w:val="007F1526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2878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0081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420A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5F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4DBBF5C7-0008-4034-88B0-D925C4B5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163</Words>
  <Characters>1063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ACR153 ACD Statement 6/16/21</vt:lpstr>
    </vt:vector>
  </TitlesOfParts>
  <Manager>R230</Manager>
  <Company>NJ OLS DMU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ACR153 ACD Statement 6/16/21</dc:title>
  <dc:subject/>
  <dc:creator>Assembly ACD</dc:creator>
  <cp:keywords>ACR153|1|LG |317|0|0|!||</cp:keywords>
  <dc:description/>
  <cp:lastModifiedBy>Bektas, Brenda</cp:lastModifiedBy>
  <cp:revision>2</cp:revision>
  <cp:lastPrinted>1999-09-30T17:29:00Z</cp:lastPrinted>
  <dcterms:created xsi:type="dcterms:W3CDTF">2021-06-17T17:07:00Z</dcterms:created>
  <dcterms:modified xsi:type="dcterms:W3CDTF">2021-06-17T17:07:00Z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