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A1E" w:rsidRDefault="00CC4A1E" w:rsidP="00CC4A1E">
      <w:pPr>
        <w:pStyle w:val="bpuBill"/>
      </w:pPr>
      <w:bookmarkStart w:id="0" w:name="bpuFrontPg"/>
      <w:bookmarkStart w:id="1" w:name="_GoBack"/>
      <w:bookmarkEnd w:id="0"/>
      <w:bookmarkEnd w:id="1"/>
      <w:r>
        <w:t xml:space="preserve">ASSEMBLY CONCURRENT RESOLUTION No. 38 </w:t>
      </w:r>
    </w:p>
    <w:p w:rsidR="00CC4A1E" w:rsidRPr="00CC4A1E" w:rsidRDefault="00CC4A1E" w:rsidP="00CC4A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7186" r:id="rId8"/>
        </w:object>
      </w:r>
    </w:p>
    <w:p w:rsidR="00CC4A1E" w:rsidRDefault="00CC4A1E" w:rsidP="00CC4A1E">
      <w:pPr>
        <w:pStyle w:val="bpuState"/>
      </w:pPr>
      <w:r>
        <w:t>STATE OF NEW JERSEY</w:t>
      </w:r>
    </w:p>
    <w:p w:rsidR="00CC4A1E" w:rsidRDefault="00CC4A1E" w:rsidP="00CC4A1E">
      <w:pPr>
        <w:pStyle w:val="bpuLegislature"/>
      </w:pPr>
      <w:proofErr w:type="gramStart"/>
      <w:r>
        <w:t>219th</w:t>
      </w:r>
      <w:proofErr w:type="gramEnd"/>
      <w:r>
        <w:t xml:space="preserve"> LEGISLATURE</w:t>
      </w:r>
    </w:p>
    <w:p w:rsidR="00CC4A1E" w:rsidRDefault="00CC4A1E" w:rsidP="00CC4A1E">
      <w:pPr>
        <w:pStyle w:val="bpuWpGraphic"/>
      </w:pPr>
      <w:r>
        <w:object w:dxaOrig="8985" w:dyaOrig="255">
          <v:shape id="_x0000_i1026" type="#_x0000_t75" style="width:6in;height:11.8pt" o:ole="">
            <v:imagedata r:id="rId7" o:title=""/>
          </v:shape>
          <o:OLEObject Type="Embed" ProgID="WPWin6.1" ShapeID="_x0000_i1026" DrawAspect="Content" ObjectID="_1638097187" r:id="rId9"/>
        </w:object>
      </w:r>
      <w:r>
        <w:t xml:space="preserve">  </w:t>
      </w:r>
    </w:p>
    <w:p w:rsidR="00CC4A1E" w:rsidRDefault="00CC4A1E" w:rsidP="00CC4A1E">
      <w:pPr>
        <w:pStyle w:val="bpuIntro"/>
      </w:pPr>
      <w:r>
        <w:t>PRE-FILED FOR INTRODUCTION IN THE 2020 SESSION</w:t>
      </w:r>
    </w:p>
    <w:p w:rsidR="00CC4A1E" w:rsidRDefault="00CC4A1E" w:rsidP="00CC4A1E">
      <w:pPr>
        <w:pStyle w:val="bpuIntro"/>
      </w:pPr>
    </w:p>
    <w:p w:rsidR="00CC4A1E" w:rsidRDefault="00CC4A1E" w:rsidP="00CC4A1E">
      <w:pPr>
        <w:pStyle w:val="bpuIntro"/>
        <w:sectPr w:rsidR="00CC4A1E" w:rsidSect="00CC4A1E">
          <w:headerReference w:type="even" r:id="rId10"/>
          <w:headerReference w:type="default" r:id="rId11"/>
          <w:pgSz w:w="12240" w:h="20160" w:code="5"/>
          <w:pgMar w:top="2160" w:right="1440" w:bottom="1440" w:left="1440" w:header="720" w:footer="720" w:gutter="0"/>
          <w:pgNumType w:start="1"/>
          <w:cols w:space="720"/>
          <w:docGrid w:linePitch="360"/>
        </w:sectPr>
      </w:pPr>
    </w:p>
    <w:p w:rsidR="00CC4A1E" w:rsidRDefault="00CC4A1E" w:rsidP="00CC4A1E">
      <w:pPr>
        <w:pStyle w:val="bpuIntro"/>
      </w:pPr>
    </w:p>
    <w:p w:rsidR="00CC4A1E" w:rsidRDefault="00CC4A1E" w:rsidP="00CC4A1E">
      <w:pPr>
        <w:pStyle w:val="bpuSponsor"/>
      </w:pPr>
      <w:r>
        <w:t>Sponsored by:</w:t>
      </w:r>
    </w:p>
    <w:p w:rsidR="00CC4A1E" w:rsidRDefault="00CC4A1E" w:rsidP="00CC4A1E">
      <w:pPr>
        <w:pStyle w:val="bpuSponsor"/>
      </w:pPr>
      <w:proofErr w:type="gramStart"/>
      <w:r>
        <w:t>Assemblyman  JOHN</w:t>
      </w:r>
      <w:proofErr w:type="gramEnd"/>
      <w:r>
        <w:t xml:space="preserve"> DIMAIO</w:t>
      </w:r>
    </w:p>
    <w:p w:rsidR="00CC4A1E" w:rsidRDefault="00CC4A1E" w:rsidP="00CC4A1E">
      <w:pPr>
        <w:pStyle w:val="bpuSponsor"/>
      </w:pPr>
      <w:r>
        <w:t>District 23 (Hunterdon, Somerset and Warren)</w:t>
      </w:r>
    </w:p>
    <w:p w:rsidR="00CC4A1E" w:rsidRDefault="00CC4A1E" w:rsidP="00CC4A1E">
      <w:pPr>
        <w:pStyle w:val="bpuSponsor"/>
      </w:pPr>
      <w:proofErr w:type="gramStart"/>
      <w:r>
        <w:t>Assemblyman  PARKER</w:t>
      </w:r>
      <w:proofErr w:type="gramEnd"/>
      <w:r>
        <w:t xml:space="preserve"> SPACE</w:t>
      </w:r>
    </w:p>
    <w:p w:rsidR="00CC4A1E" w:rsidRDefault="00CC4A1E" w:rsidP="00CC4A1E">
      <w:pPr>
        <w:pStyle w:val="bpuSponsor"/>
      </w:pPr>
      <w:r>
        <w:t>District 24 (Morris, Sussex and Warren)</w:t>
      </w:r>
    </w:p>
    <w:p w:rsidR="00CC4A1E" w:rsidRDefault="00CC4A1E" w:rsidP="00CC4A1E">
      <w:pPr>
        <w:pStyle w:val="bpuSponsor"/>
      </w:pPr>
      <w:proofErr w:type="gramStart"/>
      <w:r>
        <w:t>Assemblyman  ERIK</w:t>
      </w:r>
      <w:proofErr w:type="gramEnd"/>
      <w:r>
        <w:t xml:space="preserve"> PETERSON</w:t>
      </w:r>
    </w:p>
    <w:p w:rsidR="00CC4A1E" w:rsidRDefault="00CC4A1E" w:rsidP="00CC4A1E">
      <w:pPr>
        <w:pStyle w:val="bpuSponsor"/>
      </w:pPr>
      <w:r>
        <w:t>District 23 (Hunterdon, Somerset and Warren)</w:t>
      </w:r>
    </w:p>
    <w:p w:rsidR="00CC4A1E" w:rsidRDefault="00CC4A1E" w:rsidP="00CC4A1E">
      <w:pPr>
        <w:pStyle w:val="bpuSponsor"/>
      </w:pPr>
    </w:p>
    <w:p w:rsidR="00CC4A1E" w:rsidRDefault="00CC4A1E" w:rsidP="00CC4A1E">
      <w:pPr>
        <w:pStyle w:val="bpuSponsor"/>
      </w:pPr>
      <w:r>
        <w:t>Co-Sponsored by:</w:t>
      </w:r>
    </w:p>
    <w:p w:rsidR="00CC4A1E" w:rsidRPr="00CC4A1E" w:rsidRDefault="00CC4A1E" w:rsidP="00CC4A1E">
      <w:pPr>
        <w:pStyle w:val="bpuSponsor"/>
      </w:pPr>
      <w:r w:rsidRPr="00CC4A1E">
        <w:t xml:space="preserve">Assemblyman </w:t>
      </w:r>
      <w:proofErr w:type="spellStart"/>
      <w:r w:rsidRPr="00CC4A1E">
        <w:t>Wirths</w:t>
      </w:r>
      <w:proofErr w:type="spellEnd"/>
    </w:p>
    <w:p w:rsidR="00CC4A1E" w:rsidRDefault="00CC4A1E" w:rsidP="00CC4A1E">
      <w:pPr>
        <w:pStyle w:val="bpuSponsor"/>
      </w:pPr>
    </w:p>
    <w:p w:rsidR="00CC4A1E" w:rsidRDefault="00CC4A1E" w:rsidP="00CC4A1E">
      <w:pPr>
        <w:pStyle w:val="bpuSponsor"/>
      </w:pPr>
    </w:p>
    <w:p w:rsidR="00CC4A1E" w:rsidRDefault="00CC4A1E" w:rsidP="00CC4A1E"/>
    <w:p w:rsidR="00CC4A1E" w:rsidRPr="00CC4A1E" w:rsidRDefault="00CC4A1E" w:rsidP="00CC4A1E"/>
    <w:p w:rsidR="00CC4A1E" w:rsidRDefault="00CC4A1E" w:rsidP="00CC4A1E">
      <w:pPr>
        <w:pStyle w:val="bpuSponsor"/>
      </w:pPr>
      <w:r>
        <w:t>SYNOPSIS</w:t>
      </w:r>
    </w:p>
    <w:p w:rsidR="00CC4A1E" w:rsidRDefault="00CC4A1E" w:rsidP="00CC4A1E">
      <w:pPr>
        <w:pStyle w:val="bpuNormText"/>
      </w:pPr>
      <w:r>
        <w:tab/>
        <w:t xml:space="preserve">Proposes constitutional amendment to eliminate judicial review of arbitration rulings in disputes between Judiciary and county concerning court facilities. </w:t>
      </w:r>
    </w:p>
    <w:p w:rsidR="00CC4A1E" w:rsidRDefault="00CC4A1E" w:rsidP="00CC4A1E">
      <w:pPr>
        <w:pStyle w:val="bpuNormText"/>
      </w:pPr>
    </w:p>
    <w:p w:rsidR="00CC4A1E" w:rsidRDefault="00CC4A1E" w:rsidP="00CC4A1E">
      <w:pPr>
        <w:pStyle w:val="bpuSponsor"/>
      </w:pPr>
      <w:r>
        <w:t xml:space="preserve">CURRENT VERSION OF TEXT </w:t>
      </w:r>
    </w:p>
    <w:p w:rsidR="00CC4A1E" w:rsidRDefault="00CC4A1E" w:rsidP="00CC4A1E">
      <w:pPr>
        <w:pStyle w:val="bpuNormText"/>
      </w:pPr>
      <w:r>
        <w:tab/>
        <w:t>Introduced Pending Technical Review by Legislative Counsel.</w:t>
      </w:r>
    </w:p>
    <w:p w:rsidR="00CC4A1E" w:rsidRDefault="00CC4A1E" w:rsidP="00CC4A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4A1E" w:rsidRDefault="00CC4A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4A1E" w:rsidSect="00CC4A1E">
          <w:type w:val="continuous"/>
          <w:pgSz w:w="12240" w:h="20160" w:code="5"/>
          <w:pgMar w:top="2160" w:right="2275" w:bottom="1440" w:left="2275" w:header="72" w:footer="720" w:gutter="0"/>
          <w:pgNumType w:start="1"/>
          <w:cols w:space="720"/>
          <w:docGrid w:linePitch="360"/>
        </w:sectPr>
      </w:pPr>
    </w:p>
    <w:p w:rsidR="00D24DFE" w:rsidRDefault="00D24DFE" w:rsidP="00D24DFE">
      <w:pPr>
        <w:pStyle w:val="HangingAnAct"/>
        <w:rPr>
          <w:rStyle w:val="HangingAnActChar"/>
        </w:rPr>
      </w:pPr>
      <w:r w:rsidRPr="00D24DFE">
        <w:rPr>
          <w:rStyle w:val="BillHead"/>
        </w:rPr>
        <w:lastRenderedPageBreak/>
        <w:t>A Concurrent Resolution</w:t>
      </w:r>
      <w:r>
        <w:rPr>
          <w:rStyle w:val="HangingAnActChar"/>
        </w:rPr>
        <w:t xml:space="preserve"> </w:t>
      </w:r>
      <w:r>
        <w:t xml:space="preserve">proposing to add a new Section IX to Article VI of the Constitution of the State of </w:t>
      </w:r>
      <w:smartTag w:uri="urn:schemas-microsoft-com:office:smarttags" w:element="place">
        <w:smartTag w:uri="urn:schemas-microsoft-com:office:smarttags" w:element="State">
          <w:r>
            <w:t>New Jersey</w:t>
          </w:r>
        </w:smartTag>
      </w:smartTag>
      <w:r>
        <w:t>.</w:t>
      </w:r>
    </w:p>
    <w:p w:rsidR="00D24DFE" w:rsidRDefault="00D24DFE" w:rsidP="00D24DFE"/>
    <w:p w:rsidR="00D24DFE" w:rsidRDefault="00D24DFE" w:rsidP="00D24DFE">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D24DFE" w:rsidRDefault="00D24DFE" w:rsidP="00D24DFE">
      <w:pPr>
        <w:rPr>
          <w:rStyle w:val="BillLanguage"/>
        </w:rPr>
      </w:pPr>
    </w:p>
    <w:p w:rsidR="00D24DFE" w:rsidRDefault="00D24DFE" w:rsidP="00D24DFE">
      <w:r>
        <w:rPr>
          <w:rStyle w:val="BillLanguage"/>
          <w:i w:val="0"/>
        </w:rPr>
        <w:tab/>
      </w:r>
      <w:r>
        <w:t>1.</w:t>
      </w:r>
      <w:r>
        <w:tab/>
        <w:t>The following proposed amendment to the Constitution of the State of New Jersey is hereby agreed to:</w:t>
      </w:r>
    </w:p>
    <w:p w:rsidR="00D24DFE" w:rsidRDefault="00D24DFE" w:rsidP="00D24DFE">
      <w:pPr>
        <w:tabs>
          <w:tab w:val="left" w:pos="-1440"/>
          <w:tab w:val="left" w:pos="-720"/>
          <w:tab w:val="left" w:pos="0"/>
        </w:tabs>
        <w:spacing w:line="287" w:lineRule="auto"/>
      </w:pPr>
    </w:p>
    <w:p w:rsidR="00D24DFE" w:rsidRDefault="00D24DFE" w:rsidP="00D24DFE">
      <w:pPr>
        <w:tabs>
          <w:tab w:val="center" w:pos="3420"/>
        </w:tabs>
        <w:spacing w:line="287" w:lineRule="auto"/>
        <w:jc w:val="center"/>
      </w:pPr>
      <w:r>
        <w:t>PROPOSED AMENDMENT</w:t>
      </w:r>
    </w:p>
    <w:p w:rsidR="00D24DFE" w:rsidRDefault="00D24DFE" w:rsidP="00D24DFE">
      <w:pPr>
        <w:tabs>
          <w:tab w:val="left" w:pos="-1440"/>
          <w:tab w:val="left" w:pos="-720"/>
          <w:tab w:val="left" w:pos="0"/>
        </w:tabs>
        <w:spacing w:line="287" w:lineRule="auto"/>
        <w:jc w:val="center"/>
      </w:pPr>
    </w:p>
    <w:p w:rsidR="00D24DFE" w:rsidRDefault="00D24DFE" w:rsidP="00D24DFE">
      <w:pPr>
        <w:tabs>
          <w:tab w:val="left" w:pos="-1440"/>
          <w:tab w:val="left" w:pos="-720"/>
          <w:tab w:val="left" w:pos="0"/>
        </w:tabs>
        <w:spacing w:line="287" w:lineRule="auto"/>
        <w:ind w:firstLine="288"/>
        <w:jc w:val="left"/>
      </w:pPr>
      <w:r>
        <w:t>Amend Article VI by adding a new Section IX to read as follows:</w:t>
      </w:r>
    </w:p>
    <w:p w:rsidR="00D24DFE" w:rsidRDefault="00D24DFE" w:rsidP="00D24DFE">
      <w:r>
        <w:tab/>
        <w:t>When a dispute arises between the Judiciary and a county regarding budgetary costs relating to court facilities and the matter is referred to arbitration, the decision of the arbitrators shall be final, binding, and not subject to review by the Supreme Court.</w:t>
      </w:r>
    </w:p>
    <w:p w:rsidR="00D24DFE" w:rsidRDefault="00D24DFE" w:rsidP="00D24DFE"/>
    <w:p w:rsidR="00D24DFE" w:rsidRDefault="00D24DFE" w:rsidP="00D24DF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24DFE" w:rsidRDefault="00D24DFE" w:rsidP="00D24DFE"/>
    <w:p w:rsidR="00D24DFE" w:rsidRDefault="00D24DFE" w:rsidP="00D24DFE">
      <w:r>
        <w:tab/>
        <w:t>3.</w:t>
      </w:r>
      <w:r>
        <w:tab/>
        <w:t>This proposed amendment to the Constitution shall be submitted to the people at that election in the following manner and form:</w:t>
      </w:r>
    </w:p>
    <w:p w:rsidR="00D24DFE" w:rsidRDefault="00D24DFE" w:rsidP="00D24DFE">
      <w:r>
        <w:tab/>
        <w:t>There shall be printed on each official ballot to be used at the general election, the following:</w:t>
      </w:r>
    </w:p>
    <w:p w:rsidR="00D24DFE" w:rsidRDefault="00D24DFE" w:rsidP="00D24DFE">
      <w:r>
        <w:tab/>
        <w:t>a.</w:t>
      </w:r>
      <w:r>
        <w:tab/>
        <w:t>In every municipality in which voting machines are not used, a legend which shall immediately precede the question as follows:</w:t>
      </w:r>
    </w:p>
    <w:p w:rsidR="00D24DFE" w:rsidRDefault="00D24DFE" w:rsidP="00D24DF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24DFE" w:rsidRDefault="00D24DFE" w:rsidP="00D24DFE">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24DFE" w:rsidTr="006853B3">
        <w:trPr>
          <w:cantSplit/>
          <w:trHeight w:val="576"/>
        </w:trPr>
        <w:tc>
          <w:tcPr>
            <w:tcW w:w="648" w:type="dxa"/>
            <w:tcBorders>
              <w:bottom w:val="nil"/>
            </w:tcBorders>
          </w:tcPr>
          <w:p w:rsidR="00D24DFE" w:rsidRDefault="00D24DFE" w:rsidP="006853B3"/>
        </w:tc>
        <w:tc>
          <w:tcPr>
            <w:tcW w:w="1080" w:type="dxa"/>
            <w:tcBorders>
              <w:bottom w:val="nil"/>
            </w:tcBorders>
          </w:tcPr>
          <w:p w:rsidR="00D24DFE" w:rsidRDefault="00D24DFE" w:rsidP="006853B3"/>
        </w:tc>
        <w:tc>
          <w:tcPr>
            <w:tcW w:w="4723" w:type="dxa"/>
            <w:tcBorders>
              <w:bottom w:val="nil"/>
            </w:tcBorders>
            <w:tcMar>
              <w:top w:w="58" w:type="dxa"/>
            </w:tcMar>
          </w:tcPr>
          <w:p w:rsidR="00D24DFE" w:rsidRDefault="00D24DFE" w:rsidP="006853B3">
            <w:pPr>
              <w:jc w:val="center"/>
            </w:pPr>
            <w:r>
              <w:t>CONSTITUTIONAL AMENDMENT TO ELIMINATE JUDICIAL REVIEW OF ARBITRATION RULINGS IN DISPUTES BETWEEN JUDICIARY AND COUNTY CONCERNING COURT FACILITIES</w:t>
            </w:r>
          </w:p>
        </w:tc>
      </w:tr>
      <w:tr w:rsidR="00D24DFE" w:rsidTr="006853B3">
        <w:trPr>
          <w:trHeight w:val="461"/>
        </w:trPr>
        <w:tc>
          <w:tcPr>
            <w:tcW w:w="648" w:type="dxa"/>
            <w:tcBorders>
              <w:top w:val="nil"/>
            </w:tcBorders>
          </w:tcPr>
          <w:p w:rsidR="00D24DFE" w:rsidRDefault="00D24DFE" w:rsidP="006853B3"/>
        </w:tc>
        <w:tc>
          <w:tcPr>
            <w:tcW w:w="1080" w:type="dxa"/>
            <w:tcBorders>
              <w:top w:val="nil"/>
            </w:tcBorders>
            <w:vAlign w:val="center"/>
          </w:tcPr>
          <w:p w:rsidR="00D24DFE" w:rsidRDefault="00D24DFE" w:rsidP="006853B3">
            <w:pPr>
              <w:jc w:val="center"/>
              <w:rPr>
                <w:sz w:val="22"/>
                <w:szCs w:val="22"/>
              </w:rPr>
            </w:pPr>
            <w:r>
              <w:rPr>
                <w:sz w:val="22"/>
                <w:szCs w:val="22"/>
              </w:rPr>
              <w:t>YES</w:t>
            </w:r>
          </w:p>
        </w:tc>
        <w:tc>
          <w:tcPr>
            <w:tcW w:w="4723" w:type="dxa"/>
            <w:tcBorders>
              <w:top w:val="nil"/>
            </w:tcBorders>
          </w:tcPr>
          <w:p w:rsidR="00D24DFE" w:rsidRDefault="00D24DFE" w:rsidP="006853B3">
            <w:r>
              <w:tab/>
              <w:t>Do you approve amending the Constitution to eliminate Supreme Court review of an arbitrators’ ruling in disputes between the court and a county about the cost of court facilities?</w:t>
            </w:r>
          </w:p>
        </w:tc>
      </w:tr>
      <w:tr w:rsidR="00D24DFE" w:rsidTr="006853B3">
        <w:trPr>
          <w:trHeight w:val="461"/>
        </w:trPr>
        <w:tc>
          <w:tcPr>
            <w:tcW w:w="648" w:type="dxa"/>
            <w:tcBorders>
              <w:bottom w:val="nil"/>
            </w:tcBorders>
          </w:tcPr>
          <w:p w:rsidR="00D24DFE" w:rsidRDefault="00D24DFE" w:rsidP="006853B3"/>
        </w:tc>
        <w:tc>
          <w:tcPr>
            <w:tcW w:w="1080" w:type="dxa"/>
            <w:tcBorders>
              <w:bottom w:val="nil"/>
            </w:tcBorders>
          </w:tcPr>
          <w:p w:rsidR="00D24DFE" w:rsidRDefault="00D24DFE" w:rsidP="006853B3"/>
        </w:tc>
        <w:tc>
          <w:tcPr>
            <w:tcW w:w="4723" w:type="dxa"/>
            <w:tcBorders>
              <w:bottom w:val="nil"/>
            </w:tcBorders>
            <w:vAlign w:val="center"/>
          </w:tcPr>
          <w:p w:rsidR="00D24DFE" w:rsidRDefault="00D24DFE" w:rsidP="00D24DFE">
            <w:pPr>
              <w:jc w:val="center"/>
            </w:pPr>
            <w:r>
              <w:t>INTERPRETIVE STATEMENT</w:t>
            </w:r>
          </w:p>
        </w:tc>
      </w:tr>
      <w:tr w:rsidR="00D24DFE" w:rsidTr="006853B3">
        <w:trPr>
          <w:trHeight w:val="461"/>
        </w:trPr>
        <w:tc>
          <w:tcPr>
            <w:tcW w:w="648" w:type="dxa"/>
            <w:tcBorders>
              <w:top w:val="nil"/>
              <w:bottom w:val="nil"/>
            </w:tcBorders>
          </w:tcPr>
          <w:p w:rsidR="00D24DFE" w:rsidRDefault="00D24DFE" w:rsidP="006853B3"/>
        </w:tc>
        <w:tc>
          <w:tcPr>
            <w:tcW w:w="1080" w:type="dxa"/>
            <w:tcBorders>
              <w:top w:val="nil"/>
              <w:bottom w:val="nil"/>
            </w:tcBorders>
            <w:vAlign w:val="bottom"/>
          </w:tcPr>
          <w:p w:rsidR="00D24DFE" w:rsidRDefault="00D24DFE" w:rsidP="006853B3">
            <w:pPr>
              <w:jc w:val="center"/>
              <w:rPr>
                <w:sz w:val="22"/>
                <w:szCs w:val="22"/>
              </w:rPr>
            </w:pPr>
            <w:r>
              <w:rPr>
                <w:sz w:val="22"/>
                <w:szCs w:val="22"/>
              </w:rPr>
              <w:t>NO</w:t>
            </w:r>
          </w:p>
          <w:p w:rsidR="00D24DFE" w:rsidRDefault="00D24DFE" w:rsidP="006853B3">
            <w:pPr>
              <w:jc w:val="center"/>
              <w:rPr>
                <w:sz w:val="22"/>
                <w:szCs w:val="22"/>
              </w:rPr>
            </w:pPr>
          </w:p>
          <w:p w:rsidR="00D24DFE" w:rsidRDefault="00D24DFE" w:rsidP="006853B3">
            <w:pPr>
              <w:jc w:val="center"/>
              <w:rPr>
                <w:sz w:val="22"/>
                <w:szCs w:val="22"/>
              </w:rPr>
            </w:pPr>
          </w:p>
          <w:p w:rsidR="00D24DFE" w:rsidRDefault="00D24DFE" w:rsidP="006853B3">
            <w:pPr>
              <w:jc w:val="center"/>
              <w:rPr>
                <w:sz w:val="22"/>
                <w:szCs w:val="22"/>
              </w:rPr>
            </w:pPr>
          </w:p>
          <w:p w:rsidR="00D24DFE" w:rsidRDefault="00D24DFE" w:rsidP="006853B3">
            <w:pPr>
              <w:jc w:val="center"/>
              <w:rPr>
                <w:sz w:val="22"/>
                <w:szCs w:val="22"/>
              </w:rPr>
            </w:pPr>
          </w:p>
          <w:p w:rsidR="00D24DFE" w:rsidRDefault="00D24DFE" w:rsidP="006853B3">
            <w:pPr>
              <w:jc w:val="center"/>
              <w:rPr>
                <w:sz w:val="22"/>
                <w:szCs w:val="22"/>
              </w:rPr>
            </w:pPr>
          </w:p>
          <w:p w:rsidR="00D24DFE" w:rsidRDefault="00D24DFE" w:rsidP="006853B3">
            <w:pPr>
              <w:jc w:val="center"/>
              <w:rPr>
                <w:sz w:val="22"/>
                <w:szCs w:val="22"/>
              </w:rPr>
            </w:pPr>
          </w:p>
          <w:p w:rsidR="00D24DFE" w:rsidRDefault="00D24DFE" w:rsidP="006853B3">
            <w:pPr>
              <w:jc w:val="center"/>
              <w:rPr>
                <w:sz w:val="22"/>
                <w:szCs w:val="22"/>
              </w:rPr>
            </w:pPr>
          </w:p>
          <w:p w:rsidR="00D24DFE" w:rsidRDefault="00D24DFE" w:rsidP="006853B3">
            <w:pPr>
              <w:jc w:val="center"/>
              <w:rPr>
                <w:sz w:val="22"/>
                <w:szCs w:val="22"/>
              </w:rPr>
            </w:pPr>
          </w:p>
          <w:p w:rsidR="00D24DFE" w:rsidRDefault="00D24DFE" w:rsidP="006853B3">
            <w:pPr>
              <w:jc w:val="center"/>
              <w:rPr>
                <w:sz w:val="22"/>
                <w:szCs w:val="22"/>
              </w:rPr>
            </w:pPr>
            <w:r>
              <w:rPr>
                <w:sz w:val="22"/>
                <w:szCs w:val="22"/>
              </w:rPr>
              <w:tab/>
            </w:r>
          </w:p>
        </w:tc>
        <w:tc>
          <w:tcPr>
            <w:tcW w:w="4723" w:type="dxa"/>
            <w:tcBorders>
              <w:top w:val="nil"/>
              <w:bottom w:val="nil"/>
            </w:tcBorders>
          </w:tcPr>
          <w:p w:rsidR="00D24DFE" w:rsidRDefault="00D24DFE" w:rsidP="006853B3">
            <w:r>
              <w:tab/>
              <w:t xml:space="preserve">Current law provides that counties are responsible for the cost of court facilities.  In the event of a dispute between a county and the courts concerning court facilities, the dispute may be referred to arbitration.  Currently, the decision of the arbitrators is not binding and can be changed by the Supreme Court.  This amendment removes the ability of the Supreme Court to change the arbitrators’ ruling. The arbitrators’ decision would be final.  </w:t>
            </w:r>
          </w:p>
          <w:p w:rsidR="00D24DFE" w:rsidRDefault="00D24DFE" w:rsidP="006853B3">
            <w:r>
              <w:tab/>
              <w:t>A “yes” vote would amend the Constitution to prevent the Supreme Court from changing an arbitration decision.</w:t>
            </w:r>
          </w:p>
          <w:p w:rsidR="00D24DFE" w:rsidRDefault="00D24DFE" w:rsidP="006853B3">
            <w:r>
              <w:tab/>
              <w:t>A “no” vote would leave the Constitution unchanged.  The Supreme Court would be able to change the arbitrators’ decision.</w:t>
            </w:r>
          </w:p>
        </w:tc>
      </w:tr>
      <w:tr w:rsidR="00D24DFE" w:rsidTr="006853B3">
        <w:trPr>
          <w:trHeight w:val="461"/>
        </w:trPr>
        <w:tc>
          <w:tcPr>
            <w:tcW w:w="648" w:type="dxa"/>
            <w:tcBorders>
              <w:top w:val="nil"/>
            </w:tcBorders>
          </w:tcPr>
          <w:p w:rsidR="00D24DFE" w:rsidRDefault="00D24DFE" w:rsidP="006853B3"/>
        </w:tc>
        <w:tc>
          <w:tcPr>
            <w:tcW w:w="1080" w:type="dxa"/>
            <w:tcBorders>
              <w:top w:val="nil"/>
            </w:tcBorders>
            <w:vAlign w:val="bottom"/>
          </w:tcPr>
          <w:p w:rsidR="00D24DFE" w:rsidRDefault="00D24DFE" w:rsidP="006853B3">
            <w:pPr>
              <w:jc w:val="center"/>
              <w:rPr>
                <w:sz w:val="22"/>
                <w:szCs w:val="22"/>
              </w:rPr>
            </w:pPr>
          </w:p>
        </w:tc>
        <w:tc>
          <w:tcPr>
            <w:tcW w:w="4723" w:type="dxa"/>
            <w:tcBorders>
              <w:top w:val="nil"/>
            </w:tcBorders>
          </w:tcPr>
          <w:p w:rsidR="00D24DFE" w:rsidRDefault="00D24DFE" w:rsidP="006853B3"/>
        </w:tc>
      </w:tr>
    </w:tbl>
    <w:p w:rsidR="00D24DFE" w:rsidRDefault="00D24DFE" w:rsidP="00D24DFE">
      <w:pPr>
        <w:rPr>
          <w:rStyle w:val="11ptChar"/>
        </w:rPr>
      </w:pPr>
    </w:p>
    <w:p w:rsidR="00D24DFE" w:rsidRDefault="00D24DFE" w:rsidP="00D24DFE"/>
    <w:p w:rsidR="00D24DFE" w:rsidRDefault="00D24DFE" w:rsidP="00D24DFE">
      <w:pPr>
        <w:jc w:val="center"/>
      </w:pPr>
      <w:r>
        <w:t>STATEMENT</w:t>
      </w:r>
    </w:p>
    <w:p w:rsidR="00D24DFE" w:rsidRDefault="00D24DFE" w:rsidP="00D24DFE">
      <w:pPr>
        <w:jc w:val="center"/>
      </w:pPr>
    </w:p>
    <w:p w:rsidR="00D24DFE" w:rsidRDefault="00D24DFE" w:rsidP="00D24DFE">
      <w:r>
        <w:tab/>
        <w:t>This constitutional amendment would eliminate the authority of the New Jersey Supreme Court to review and change arbitrators’ decisions in cases involving courthouse facility disputes between the Judiciary and county governing bodies.</w:t>
      </w:r>
    </w:p>
    <w:p w:rsidR="00D24DFE" w:rsidRDefault="00D24DFE" w:rsidP="00D24DFE">
      <w:r>
        <w:tab/>
        <w:t xml:space="preserve">Under current law, the counties are responsible for the costs of construction and renovation of courthouse facilities.  In some instances, disputes arise between the counties and the Judiciary concerning factors such as the design or construction of specific facilities. The Rules of Court provide that a dispute between the county governing body and the Judiciary can be submitted to arbitration, at the request of either party.  According to the Rules of Court, the decision of the arbitrator is subject to review by the Supreme Court and can be vacated, modified or corrected if the court determines that “the decision fails to balance the needs and </w:t>
      </w:r>
      <w:r>
        <w:lastRenderedPageBreak/>
        <w:t>interest of the county and the Judiciary in a fair manner.”  Effectively, this means that the Judiciary can overturn a decision in which the Judiciary is a party based upon the Constitutional authority of the Supreme Court over “practice and procedure” in the State courts.  Adoption of this amendment would end the Supreme Court’s ability to overt</w:t>
      </w:r>
      <w:r w:rsidR="00CC4A1E">
        <w:t>urn the arbitrators’ decision.</w:t>
      </w:r>
    </w:p>
    <w:sectPr w:rsidR="00D24DFE" w:rsidSect="00CC4A1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52E" w:rsidRDefault="0074652E">
      <w:r>
        <w:separator/>
      </w:r>
    </w:p>
  </w:endnote>
  <w:endnote w:type="continuationSeparator" w:id="0">
    <w:p w:rsidR="0074652E" w:rsidRDefault="00746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52E" w:rsidRDefault="0074652E">
      <w:r>
        <w:separator/>
      </w:r>
    </w:p>
  </w:footnote>
  <w:footnote w:type="continuationSeparator" w:id="0">
    <w:p w:rsidR="0074652E" w:rsidRDefault="00746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0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4A1E" w:rsidRDefault="00CC4A1E" w:rsidP="00CC4A1E">
    <w:pPr>
      <w:pStyle w:val="bpuHeadSpon"/>
    </w:pPr>
    <w:r w:rsidRPr="00CC4A1E">
      <w:rPr>
        <w:rStyle w:val="bpuHeadSponChar"/>
      </w:rPr>
      <w:t>ACR38</w:t>
    </w:r>
    <w:r>
      <w:t xml:space="preserve"> DIMAIO, SPACE</w:t>
    </w:r>
  </w:p>
  <w:p w:rsidR="00CC4A1E" w:rsidRDefault="00CC4A1E" w:rsidP="00CC4A1E">
    <w:pPr>
      <w:pStyle w:val="bpuHeadSpon"/>
    </w:pPr>
    <w:r>
      <w:fldChar w:fldCharType="begin"/>
    </w:r>
    <w:r>
      <w:instrText xml:space="preserve"> PAGE  \* MERGEFORMAT </w:instrText>
    </w:r>
    <w:r>
      <w:fldChar w:fldCharType="separate"/>
    </w:r>
    <w:r w:rsidR="00AA01CD">
      <w:rPr>
        <w:noProof/>
      </w:rPr>
      <w:t>4</w:t>
    </w:r>
    <w:r>
      <w:fldChar w:fldCharType="end"/>
    </w:r>
  </w:p>
  <w:p w:rsidR="00CC4A1E" w:rsidRPr="00AF575C" w:rsidRDefault="00CC4A1E" w:rsidP="00CC4A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4A1E" w:rsidRDefault="00CC4A1E" w:rsidP="00CC4A1E">
    <w:pPr>
      <w:pStyle w:val="bpuHeadSpon"/>
    </w:pPr>
    <w:r w:rsidRPr="00CC4A1E">
      <w:rPr>
        <w:rStyle w:val="bpuHeadSponChar"/>
      </w:rPr>
      <w:t>ACR38</w:t>
    </w:r>
    <w:r>
      <w:t xml:space="preserve"> DIMAIO, SPACE</w:t>
    </w:r>
  </w:p>
  <w:p w:rsidR="00CC4A1E" w:rsidRDefault="00CC4A1E" w:rsidP="00CC4A1E">
    <w:pPr>
      <w:pStyle w:val="bpuHeadSpon"/>
    </w:pPr>
    <w:r>
      <w:fldChar w:fldCharType="begin"/>
    </w:r>
    <w:r>
      <w:instrText xml:space="preserve"> PAGE  \* MERGEFORMAT </w:instrText>
    </w:r>
    <w:r>
      <w:fldChar w:fldCharType="separate"/>
    </w:r>
    <w:r w:rsidR="00AA01CD">
      <w:rPr>
        <w:noProof/>
      </w:rPr>
      <w:t>2</w:t>
    </w:r>
    <w:r>
      <w:fldChar w:fldCharType="end"/>
    </w:r>
  </w:p>
  <w:p w:rsidR="00CC4A1E" w:rsidRDefault="00CC4A1E" w:rsidP="00CC4A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5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52E"/>
    <w:rsid w:val="00752616"/>
    <w:rsid w:val="0075577B"/>
    <w:rsid w:val="00757B3B"/>
    <w:rsid w:val="00762366"/>
    <w:rsid w:val="007676EB"/>
    <w:rsid w:val="0076794B"/>
    <w:rsid w:val="00771F97"/>
    <w:rsid w:val="00772A40"/>
    <w:rsid w:val="0077700A"/>
    <w:rsid w:val="00781D1F"/>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CD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750"/>
    <w:rsid w:val="00A95220"/>
    <w:rsid w:val="00AA01CD"/>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89F"/>
    <w:rsid w:val="00BF23C7"/>
    <w:rsid w:val="00BF7456"/>
    <w:rsid w:val="00C035F3"/>
    <w:rsid w:val="00C078A1"/>
    <w:rsid w:val="00C3401C"/>
    <w:rsid w:val="00C473B8"/>
    <w:rsid w:val="00C603F9"/>
    <w:rsid w:val="00C614C5"/>
    <w:rsid w:val="00C83317"/>
    <w:rsid w:val="00C937A1"/>
    <w:rsid w:val="00C93F56"/>
    <w:rsid w:val="00CB344E"/>
    <w:rsid w:val="00CC4A1E"/>
    <w:rsid w:val="00CF2757"/>
    <w:rsid w:val="00CF2761"/>
    <w:rsid w:val="00CF506C"/>
    <w:rsid w:val="00CF7045"/>
    <w:rsid w:val="00D0612B"/>
    <w:rsid w:val="00D06296"/>
    <w:rsid w:val="00D0784A"/>
    <w:rsid w:val="00D1283E"/>
    <w:rsid w:val="00D158BB"/>
    <w:rsid w:val="00D169D8"/>
    <w:rsid w:val="00D209A5"/>
    <w:rsid w:val="00D23780"/>
    <w:rsid w:val="00D24DFE"/>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25DADA9-4C03-435E-9BFA-04685216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4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9E921-196E-4BA7-AE31-32A9261C2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748</Words>
  <Characters>3978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ACR38</dc:title>
  <dc:creator>Assemblyman  DIMAIO, Assemblyman  SPACE</dc:creator>
  <cp:keywords>ACR38|4|AU |220|0|0|!|0|</cp:keywords>
  <dc:description>PREFILED 2020</dc:description>
  <cp:lastModifiedBy>Bell, Careema</cp:lastModifiedBy>
  <cp:revision>2</cp:revision>
  <cp:lastPrinted>2005-07-29T18:13:00Z</cp:lastPrinted>
  <dcterms:created xsi:type="dcterms:W3CDTF">2019-12-17T19:13:00Z</dcterms:created>
  <dcterms:modified xsi:type="dcterms:W3CDTF">2019-12-17T19:13:00Z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