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14A6" w:rsidRDefault="00B314A6" w:rsidP="00B314A6">
      <w:pPr>
        <w:pStyle w:val="bpuBill"/>
      </w:pPr>
      <w:bookmarkStart w:id="0" w:name="bpuFrontPg"/>
      <w:bookmarkStart w:id="1" w:name="_GoBack"/>
      <w:bookmarkEnd w:id="0"/>
      <w:bookmarkEnd w:id="1"/>
      <w:r>
        <w:t xml:space="preserve">ASSEMBLY CONCURRENT RESOLUTION No. 52 </w:t>
      </w:r>
    </w:p>
    <w:p w:rsidR="00B314A6" w:rsidRPr="00B314A6" w:rsidRDefault="00B314A6" w:rsidP="00B314A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956483" r:id="rId8"/>
        </w:object>
      </w:r>
    </w:p>
    <w:p w:rsidR="00B314A6" w:rsidRDefault="00B314A6" w:rsidP="00B314A6">
      <w:pPr>
        <w:pStyle w:val="bpuState"/>
      </w:pPr>
      <w:r>
        <w:t>STATE OF NEW JERSEY</w:t>
      </w:r>
    </w:p>
    <w:p w:rsidR="00B314A6" w:rsidRDefault="00B314A6" w:rsidP="00B314A6">
      <w:pPr>
        <w:pStyle w:val="bpuLegislature"/>
      </w:pPr>
      <w:proofErr w:type="gramStart"/>
      <w:r>
        <w:t>219th</w:t>
      </w:r>
      <w:proofErr w:type="gramEnd"/>
      <w:r>
        <w:t xml:space="preserve"> LEGISLATURE</w:t>
      </w:r>
    </w:p>
    <w:p w:rsidR="00B314A6" w:rsidRDefault="00B314A6" w:rsidP="00B314A6">
      <w:pPr>
        <w:pStyle w:val="bpuWpGraphic"/>
      </w:pPr>
      <w:r>
        <w:object w:dxaOrig="8985" w:dyaOrig="255">
          <v:shape id="_x0000_i1026" type="#_x0000_t75" style="width:6in;height:11.8pt" o:ole="">
            <v:imagedata r:id="rId7" o:title=""/>
          </v:shape>
          <o:OLEObject Type="Embed" ProgID="WPWin6.1" ShapeID="_x0000_i1026" DrawAspect="Content" ObjectID="_1638956484" r:id="rId9"/>
        </w:object>
      </w:r>
      <w:r>
        <w:t xml:space="preserve">  </w:t>
      </w:r>
    </w:p>
    <w:p w:rsidR="00B314A6" w:rsidRDefault="00B314A6" w:rsidP="00B314A6">
      <w:pPr>
        <w:pStyle w:val="bpuIntro"/>
      </w:pPr>
      <w:r>
        <w:t>PRE-FILED FOR INTRODUCTION IN THE 2020 SESSION</w:t>
      </w:r>
    </w:p>
    <w:p w:rsidR="00B314A6" w:rsidRDefault="00B314A6" w:rsidP="00B314A6">
      <w:pPr>
        <w:pStyle w:val="bpuIntro"/>
      </w:pPr>
    </w:p>
    <w:p w:rsidR="00B314A6" w:rsidRDefault="00B314A6" w:rsidP="00B314A6">
      <w:pPr>
        <w:pStyle w:val="bpuIntro"/>
        <w:sectPr w:rsidR="00B314A6" w:rsidSect="00B314A6">
          <w:headerReference w:type="even" r:id="rId10"/>
          <w:headerReference w:type="default" r:id="rId11"/>
          <w:pgSz w:w="12240" w:h="20160" w:code="5"/>
          <w:pgMar w:top="2160" w:right="1440" w:bottom="1440" w:left="1440" w:header="720" w:footer="720" w:gutter="0"/>
          <w:pgNumType w:start="1"/>
          <w:cols w:space="720"/>
          <w:docGrid w:linePitch="360"/>
        </w:sectPr>
      </w:pPr>
    </w:p>
    <w:p w:rsidR="00B314A6" w:rsidRDefault="00B314A6" w:rsidP="00B314A6">
      <w:pPr>
        <w:pStyle w:val="bpuIntro"/>
      </w:pPr>
    </w:p>
    <w:p w:rsidR="00B314A6" w:rsidRDefault="00B314A6" w:rsidP="00B314A6">
      <w:pPr>
        <w:pStyle w:val="bpuSponsor"/>
      </w:pPr>
      <w:r>
        <w:t>Sponsored by:</w:t>
      </w:r>
    </w:p>
    <w:p w:rsidR="00B314A6" w:rsidRDefault="00B314A6" w:rsidP="00B314A6">
      <w:pPr>
        <w:pStyle w:val="bpuSponsor"/>
      </w:pPr>
      <w:proofErr w:type="gramStart"/>
      <w:r>
        <w:t>Assemblyman  ANTHONY</w:t>
      </w:r>
      <w:proofErr w:type="gramEnd"/>
      <w:r>
        <w:t xml:space="preserve"> S. VERRELLI</w:t>
      </w:r>
    </w:p>
    <w:p w:rsidR="00B314A6" w:rsidRDefault="00B314A6" w:rsidP="00B314A6">
      <w:pPr>
        <w:pStyle w:val="bpuSponsor"/>
      </w:pPr>
      <w:r>
        <w:t>District 15 (Hunterdon and Mercer)</w:t>
      </w:r>
    </w:p>
    <w:p w:rsidR="00B314A6" w:rsidRDefault="00B314A6" w:rsidP="00B314A6">
      <w:pPr>
        <w:pStyle w:val="bpuSponsor"/>
      </w:pPr>
    </w:p>
    <w:p w:rsidR="00B314A6" w:rsidRDefault="00B314A6" w:rsidP="00B314A6">
      <w:pPr>
        <w:pStyle w:val="bpuSponsor"/>
      </w:pPr>
    </w:p>
    <w:p w:rsidR="00B314A6" w:rsidRDefault="00B314A6" w:rsidP="00B314A6">
      <w:pPr>
        <w:pStyle w:val="bpuSponsor"/>
      </w:pPr>
    </w:p>
    <w:p w:rsidR="00B314A6" w:rsidRDefault="00B314A6" w:rsidP="00B314A6">
      <w:pPr>
        <w:pStyle w:val="bpuSponsor"/>
      </w:pPr>
    </w:p>
    <w:p w:rsidR="00B314A6" w:rsidRDefault="00B314A6" w:rsidP="00B314A6">
      <w:pPr>
        <w:pStyle w:val="bpuSponsor"/>
      </w:pPr>
      <w:r>
        <w:t>SYNOPSIS</w:t>
      </w:r>
    </w:p>
    <w:p w:rsidR="00B314A6" w:rsidRDefault="00B314A6" w:rsidP="00B314A6">
      <w:pPr>
        <w:pStyle w:val="bpuNormText"/>
      </w:pPr>
      <w:r>
        <w:tab/>
        <w:t xml:space="preserve">Requests Supreme Court to allow defendant’s fees and fines from municipal court matters to </w:t>
      </w:r>
      <w:proofErr w:type="gramStart"/>
      <w:r>
        <w:t>be addressed</w:t>
      </w:r>
      <w:proofErr w:type="gramEnd"/>
      <w:r>
        <w:t xml:space="preserve"> in Superior Court before defendant’s incarceration. </w:t>
      </w:r>
    </w:p>
    <w:p w:rsidR="00B314A6" w:rsidRDefault="00B314A6" w:rsidP="00B314A6">
      <w:pPr>
        <w:pStyle w:val="bpuNormText"/>
      </w:pPr>
    </w:p>
    <w:p w:rsidR="00B314A6" w:rsidRDefault="00B314A6" w:rsidP="00B314A6">
      <w:pPr>
        <w:pStyle w:val="bpuSponsor"/>
      </w:pPr>
      <w:r>
        <w:t xml:space="preserve">CURRENT VERSION OF TEXT </w:t>
      </w:r>
    </w:p>
    <w:p w:rsidR="00B314A6" w:rsidRDefault="00B314A6" w:rsidP="00B314A6">
      <w:pPr>
        <w:pStyle w:val="bpuNormText"/>
      </w:pPr>
      <w:r>
        <w:tab/>
        <w:t>Introduced Pending Technical Review by Legislative Counsel.</w:t>
      </w:r>
    </w:p>
    <w:p w:rsidR="00B314A6" w:rsidRDefault="00B314A6" w:rsidP="00B314A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314A6" w:rsidRDefault="00B314A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314A6" w:rsidSect="00B314A6">
          <w:type w:val="continuous"/>
          <w:pgSz w:w="12240" w:h="20160" w:code="5"/>
          <w:pgMar w:top="2160" w:right="2275" w:bottom="1440" w:left="2275" w:header="72" w:footer="720" w:gutter="0"/>
          <w:pgNumType w:start="1"/>
          <w:cols w:space="720"/>
          <w:docGrid w:linePitch="360"/>
        </w:sectPr>
      </w:pPr>
    </w:p>
    <w:p w:rsidR="00B41E17" w:rsidRDefault="00B41E17" w:rsidP="00B314A6">
      <w:pPr>
        <w:pStyle w:val="HangingAnAct"/>
      </w:pPr>
      <w:r w:rsidRPr="00B41E17">
        <w:rPr>
          <w:rStyle w:val="BillHead"/>
        </w:rPr>
        <w:lastRenderedPageBreak/>
        <w:t>A Concurrent Resolution</w:t>
      </w:r>
      <w:r w:rsidRPr="006B7FA7">
        <w:rPr>
          <w:rStyle w:val="HangingAnActChar"/>
        </w:rPr>
        <w:t xml:space="preserve"> </w:t>
      </w:r>
      <w:r>
        <w:rPr>
          <w:rStyle w:val="HangingAnActChar"/>
        </w:rPr>
        <w:t>requesting</w:t>
      </w:r>
      <w:r w:rsidRPr="001C1ACD">
        <w:rPr>
          <w:rStyle w:val="HangingAnActChar"/>
        </w:rPr>
        <w:t xml:space="preserve"> the Supreme Court of New Jersey to </w:t>
      </w:r>
      <w:r>
        <w:rPr>
          <w:rStyle w:val="HangingAnActChar"/>
        </w:rPr>
        <w:t>allow</w:t>
      </w:r>
      <w:r w:rsidRPr="001C1ACD">
        <w:rPr>
          <w:rStyle w:val="HangingAnActChar"/>
        </w:rPr>
        <w:t xml:space="preserve"> a defendant’s fees</w:t>
      </w:r>
      <w:r>
        <w:rPr>
          <w:rStyle w:val="HangingAnActChar"/>
        </w:rPr>
        <w:t xml:space="preserve"> and fines from municipal court matters to </w:t>
      </w:r>
      <w:proofErr w:type="gramStart"/>
      <w:r>
        <w:rPr>
          <w:rStyle w:val="HangingAnActChar"/>
        </w:rPr>
        <w:t>be addressed</w:t>
      </w:r>
      <w:proofErr w:type="gramEnd"/>
      <w:r>
        <w:rPr>
          <w:rStyle w:val="HangingAnActChar"/>
        </w:rPr>
        <w:t xml:space="preserve"> in Superior Court before the defendant’s incarceration.  </w:t>
      </w:r>
    </w:p>
    <w:p w:rsidR="00B41E17" w:rsidRDefault="00B41E17" w:rsidP="00B41E17"/>
    <w:p w:rsidR="00B41E17" w:rsidRDefault="00B41E17" w:rsidP="00B41E17">
      <w:pPr>
        <w:pStyle w:val="IndentHang"/>
      </w:pPr>
      <w:r w:rsidRPr="00391B81">
        <w:rPr>
          <w:b/>
          <w:bCs/>
          <w:smallCaps/>
        </w:rPr>
        <w:t>Whereas,</w:t>
      </w:r>
      <w:r w:rsidRPr="001C43C8">
        <w:t xml:space="preserve"> </w:t>
      </w:r>
      <w:r>
        <w:t>According to the 2019 New Jersey Reentry Services Commission Report: “</w:t>
      </w:r>
      <w:r w:rsidRPr="00BB2079">
        <w:t>Barriers, Best Practices, and Action Items for Improving Reentry Services</w:t>
      </w:r>
      <w:r>
        <w:t>,” municipal courts may not receive notification of a defendant’s arrest or potential incarceration in a matter in Superior Court; and</w:t>
      </w:r>
    </w:p>
    <w:p w:rsidR="00B41E17" w:rsidRPr="00252965" w:rsidRDefault="00B41E17" w:rsidP="00B41E17">
      <w:pPr>
        <w:pStyle w:val="IndentHang"/>
      </w:pPr>
      <w:r w:rsidRPr="00391B81">
        <w:rPr>
          <w:b/>
          <w:bCs/>
          <w:smallCaps/>
        </w:rPr>
        <w:t>Whereas,</w:t>
      </w:r>
      <w:r w:rsidRPr="001C43C8">
        <w:t xml:space="preserve"> </w:t>
      </w:r>
      <w:r>
        <w:t xml:space="preserve">As a result, incarcerated defendants who owe outstanding fines and fees in municipal court matters and fail to pay them or to appear in municipal court due to their incarceration, may face accumulating late fees, the issuance of a bench warrant, or both; and </w:t>
      </w:r>
    </w:p>
    <w:p w:rsidR="00B41E17" w:rsidRDefault="00B41E17" w:rsidP="00B41E17">
      <w:pPr>
        <w:pStyle w:val="IndentHang"/>
      </w:pPr>
      <w:r w:rsidRPr="00391B81">
        <w:rPr>
          <w:b/>
          <w:bCs/>
          <w:smallCaps/>
        </w:rPr>
        <w:t>Whereas,</w:t>
      </w:r>
      <w:r w:rsidRPr="001C43C8">
        <w:t xml:space="preserve"> </w:t>
      </w:r>
      <w:proofErr w:type="gramStart"/>
      <w:r>
        <w:t>The</w:t>
      </w:r>
      <w:proofErr w:type="gramEnd"/>
      <w:r>
        <w:t xml:space="preserve"> current system usually does not address outstanding municipal court bench warrants during incarceration in State prison until release; and </w:t>
      </w:r>
    </w:p>
    <w:p w:rsidR="00B41E17" w:rsidRPr="00291E60" w:rsidRDefault="00B41E17" w:rsidP="00B41E17">
      <w:pPr>
        <w:pStyle w:val="IndentHang"/>
      </w:pPr>
      <w:r w:rsidRPr="00391B81">
        <w:rPr>
          <w:b/>
          <w:bCs/>
          <w:smallCaps/>
        </w:rPr>
        <w:t>Whereas,</w:t>
      </w:r>
      <w:r w:rsidRPr="001C43C8">
        <w:t xml:space="preserve"> </w:t>
      </w:r>
      <w:proofErr w:type="gramStart"/>
      <w:r>
        <w:t>An</w:t>
      </w:r>
      <w:proofErr w:type="gramEnd"/>
      <w:r>
        <w:t xml:space="preserve"> incarcerated defendant, with the inability to pay any fines, is unaware of the bench warrant; and</w:t>
      </w:r>
    </w:p>
    <w:p w:rsidR="00B41E17" w:rsidRPr="00133DD4" w:rsidRDefault="00B41E17" w:rsidP="00B41E17">
      <w:pPr>
        <w:pStyle w:val="IndentHang"/>
      </w:pPr>
      <w:r w:rsidRPr="00391B81">
        <w:rPr>
          <w:b/>
          <w:bCs/>
          <w:smallCaps/>
        </w:rPr>
        <w:t>Whereas,</w:t>
      </w:r>
      <w:r w:rsidRPr="001C43C8">
        <w:t xml:space="preserve"> </w:t>
      </w:r>
      <w:r>
        <w:t xml:space="preserve">If a bench warrant is issued for failure to appear in municipal court, but that failure was due to incarceration, individuals are </w:t>
      </w:r>
      <w:proofErr w:type="spellStart"/>
      <w:r>
        <w:t>disincentivized</w:t>
      </w:r>
      <w:proofErr w:type="spellEnd"/>
      <w:r>
        <w:t xml:space="preserve"> from receiving </w:t>
      </w:r>
      <w:r w:rsidRPr="00133DD4">
        <w:t xml:space="preserve">necessary services such as obtaining a driver’s license, for fear </w:t>
      </w:r>
      <w:r>
        <w:t xml:space="preserve">of </w:t>
      </w:r>
      <w:proofErr w:type="spellStart"/>
      <w:r w:rsidRPr="00133DD4">
        <w:t>rearrest</w:t>
      </w:r>
      <w:proofErr w:type="spellEnd"/>
      <w:r w:rsidRPr="00133DD4">
        <w:t>; and</w:t>
      </w:r>
    </w:p>
    <w:p w:rsidR="00B41E17" w:rsidRPr="00785C45" w:rsidRDefault="00B41E17" w:rsidP="00B41E17">
      <w:pPr>
        <w:pStyle w:val="IndentHang"/>
      </w:pPr>
      <w:r w:rsidRPr="00391B81">
        <w:rPr>
          <w:b/>
          <w:bCs/>
          <w:smallCaps/>
        </w:rPr>
        <w:t>Whereas,</w:t>
      </w:r>
      <w:r w:rsidRPr="001C43C8">
        <w:t xml:space="preserve"> </w:t>
      </w:r>
      <w:r>
        <w:t xml:space="preserve">Defendants get caught in a cycle of fines, fees and bench warrants that does not assist in alleviating the financial burden but </w:t>
      </w:r>
      <w:r w:rsidRPr="00785C45">
        <w:t>presents another impediment that encourages recidivism; and</w:t>
      </w:r>
    </w:p>
    <w:p w:rsidR="00B41E17" w:rsidRDefault="00B41E17" w:rsidP="00B41E17">
      <w:pPr>
        <w:pStyle w:val="IndentHang"/>
      </w:pPr>
      <w:r w:rsidRPr="00785C45">
        <w:rPr>
          <w:b/>
          <w:bCs/>
          <w:smallCaps/>
        </w:rPr>
        <w:t>Whereas,</w:t>
      </w:r>
      <w:r w:rsidRPr="00785C45">
        <w:t xml:space="preserve"> The Supreme Court of New Jersey may be in the best position to </w:t>
      </w:r>
      <w:r>
        <w:t>consider</w:t>
      </w:r>
      <w:r w:rsidRPr="00785C45">
        <w:t xml:space="preserve"> these issues; now, therefore</w:t>
      </w:r>
      <w:r>
        <w:t xml:space="preserve">, </w:t>
      </w:r>
    </w:p>
    <w:p w:rsidR="00B41E17" w:rsidRPr="005301D1" w:rsidRDefault="00B41E17" w:rsidP="00B41E17"/>
    <w:p w:rsidR="00B41E17" w:rsidRPr="00AA7880" w:rsidRDefault="00B41E17" w:rsidP="00B41E17">
      <w:r>
        <w:tab/>
      </w:r>
      <w:r>
        <w:rPr>
          <w:rStyle w:val="BillHeading2"/>
        </w:rPr>
        <w:t xml:space="preserve">Be It Resolved </w:t>
      </w:r>
      <w:r>
        <w:rPr>
          <w:rStyle w:val="BillLanguage"/>
        </w:rPr>
        <w:t>by the General Assembly of the State of New Jersey (the Senate concurring):</w:t>
      </w:r>
    </w:p>
    <w:p w:rsidR="00B41E17" w:rsidRPr="00F549C5" w:rsidRDefault="00B41E17" w:rsidP="00B41E17"/>
    <w:p w:rsidR="00B41E17" w:rsidRPr="00AA7880" w:rsidRDefault="00B41E17" w:rsidP="00B41E17">
      <w:r>
        <w:tab/>
        <w:t>1.</w:t>
      </w:r>
      <w:r>
        <w:tab/>
        <w:t xml:space="preserve">The Supreme Court of New Jersey </w:t>
      </w:r>
      <w:proofErr w:type="gramStart"/>
      <w:r>
        <w:t>is respectfully requested</w:t>
      </w:r>
      <w:proofErr w:type="gramEnd"/>
      <w:r>
        <w:t xml:space="preserve"> to consider issuing standards,</w:t>
      </w:r>
      <w:r w:rsidRPr="00AA211B">
        <w:t xml:space="preserve"> </w:t>
      </w:r>
      <w:r>
        <w:t xml:space="preserve">rules and guidelines to allow a defendant’s outstanding municipal court fees and fines to be addressed in Superior Court at the time of sentencing before the defendant’s incarceration.  </w:t>
      </w:r>
    </w:p>
    <w:p w:rsidR="00B41E17" w:rsidRDefault="00B41E17" w:rsidP="00B41E17"/>
    <w:p w:rsidR="00B41E17" w:rsidRDefault="00B41E17" w:rsidP="00B41E17">
      <w:r>
        <w:tab/>
        <w:t>2.</w:t>
      </w:r>
      <w:r>
        <w:tab/>
      </w:r>
      <w:r w:rsidRPr="00F43333">
        <w:t xml:space="preserve">Copies of this resolution, as filed with the Secretary of State, </w:t>
      </w:r>
      <w:proofErr w:type="gramStart"/>
      <w:r w:rsidRPr="00F43333">
        <w:t>shall be transmitted</w:t>
      </w:r>
      <w:proofErr w:type="gramEnd"/>
      <w:r w:rsidRPr="00F43333">
        <w:t xml:space="preserve"> by the Clerk of the General Assembly to the Chief Justice of the Supreme Court of New Jersey and </w:t>
      </w:r>
      <w:r>
        <w:t xml:space="preserve">to </w:t>
      </w:r>
      <w:r w:rsidRPr="00F43333">
        <w:t xml:space="preserve">the Administrative Director of the Courts.  </w:t>
      </w:r>
    </w:p>
    <w:p w:rsidR="00B41E17" w:rsidRDefault="00B41E17" w:rsidP="00B41E17"/>
    <w:p w:rsidR="00B5785D" w:rsidRPr="00F43333" w:rsidRDefault="00B5785D" w:rsidP="00B41E17"/>
    <w:p w:rsidR="00B41E17" w:rsidRDefault="00B41E17" w:rsidP="00B41E17">
      <w:pPr>
        <w:jc w:val="center"/>
      </w:pPr>
      <w:r w:rsidRPr="00F43333">
        <w:t>STATEMENT</w:t>
      </w:r>
    </w:p>
    <w:p w:rsidR="00B314A6" w:rsidRPr="00F43333" w:rsidRDefault="00B314A6" w:rsidP="00B41E17">
      <w:pPr>
        <w:jc w:val="center"/>
      </w:pPr>
    </w:p>
    <w:p w:rsidR="00B314A6" w:rsidRDefault="00B41E17" w:rsidP="00B314A6">
      <w:r w:rsidRPr="00F43333">
        <w:tab/>
        <w:t>This resolution would respectfully</w:t>
      </w:r>
      <w:r>
        <w:t xml:space="preserve"> request the Supreme Court of</w:t>
      </w:r>
    </w:p>
    <w:p w:rsidR="00B41E17" w:rsidRDefault="00B41E17" w:rsidP="00B41E17">
      <w:r>
        <w:lastRenderedPageBreak/>
        <w:t xml:space="preserve">New Jersey to consider issuing rules, guidelines and standards to permit a defendant’s outstanding municipal court fees and fines to be addressed in Superior Court at the time of sentencing before the defendant’s incarceration. </w:t>
      </w:r>
    </w:p>
    <w:p w:rsidR="00B41E17" w:rsidRDefault="00B41E17" w:rsidP="00B41E17">
      <w:r>
        <w:tab/>
        <w:t xml:space="preserve">This resolution </w:t>
      </w:r>
      <w:proofErr w:type="gramStart"/>
      <w:r>
        <w:t>is based</w:t>
      </w:r>
      <w:proofErr w:type="gramEnd"/>
      <w:r>
        <w:t xml:space="preserve"> upon one of the recommendations provided in the 2019 New Jersey Reentry Services Commission Report: “</w:t>
      </w:r>
      <w:r w:rsidRPr="00BB2079">
        <w:t>Barriers, Best Practices, and Action Items for Improving Reentry Services</w:t>
      </w:r>
      <w:r>
        <w:t xml:space="preserve">.” </w:t>
      </w:r>
    </w:p>
    <w:sectPr w:rsidR="00B41E17" w:rsidSect="00B314A6">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5417" w:rsidRDefault="00685417">
      <w:r>
        <w:separator/>
      </w:r>
    </w:p>
  </w:endnote>
  <w:endnote w:type="continuationSeparator" w:id="0">
    <w:p w:rsidR="00685417" w:rsidRDefault="006854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00000003" w:usb1="00000000" w:usb2="00000000" w:usb3="00000000" w:csb0="00000001"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B314A6" w:rsidRDefault="004D76F0" w:rsidP="00B314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5417" w:rsidRDefault="00685417">
      <w:r>
        <w:separator/>
      </w:r>
    </w:p>
  </w:footnote>
  <w:footnote w:type="continuationSeparator" w:id="0">
    <w:p w:rsidR="00685417" w:rsidRDefault="006854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2F171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314A6" w:rsidRDefault="00B314A6" w:rsidP="00B314A6">
    <w:pPr>
      <w:pStyle w:val="bpuHeadSpon"/>
    </w:pPr>
    <w:r w:rsidRPr="00B314A6">
      <w:rPr>
        <w:rStyle w:val="bpuHeadSponChar"/>
      </w:rPr>
      <w:t>ACR52</w:t>
    </w:r>
    <w:r>
      <w:t xml:space="preserve"> VERRELLI</w:t>
    </w:r>
  </w:p>
  <w:p w:rsidR="00B314A6" w:rsidRDefault="00B314A6" w:rsidP="00B314A6">
    <w:pPr>
      <w:pStyle w:val="bpuHeadSpon"/>
    </w:pPr>
    <w:r>
      <w:fldChar w:fldCharType="begin"/>
    </w:r>
    <w:r>
      <w:instrText xml:space="preserve"> PAGE  \* MERGEFORMAT </w:instrText>
    </w:r>
    <w:r>
      <w:fldChar w:fldCharType="separate"/>
    </w:r>
    <w:r w:rsidR="002F1710">
      <w:rPr>
        <w:noProof/>
      </w:rPr>
      <w:t>3</w:t>
    </w:r>
    <w:r>
      <w:fldChar w:fldCharType="end"/>
    </w:r>
  </w:p>
  <w:p w:rsidR="00B314A6" w:rsidRPr="00AF575C" w:rsidRDefault="00B314A6" w:rsidP="00B314A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314A6" w:rsidRDefault="00B314A6" w:rsidP="00B314A6">
    <w:pPr>
      <w:pStyle w:val="bpuHeadSpon"/>
    </w:pPr>
    <w:r w:rsidRPr="00B314A6">
      <w:rPr>
        <w:rStyle w:val="bpuHeadSponChar"/>
      </w:rPr>
      <w:t>ACR52</w:t>
    </w:r>
    <w:r>
      <w:t xml:space="preserve"> VERRELLI</w:t>
    </w:r>
  </w:p>
  <w:p w:rsidR="00B314A6" w:rsidRDefault="00B314A6" w:rsidP="00B314A6">
    <w:pPr>
      <w:pStyle w:val="bpuHeadSpon"/>
    </w:pPr>
    <w:r>
      <w:fldChar w:fldCharType="begin"/>
    </w:r>
    <w:r>
      <w:instrText xml:space="preserve"> PAGE  \* MERGEFORMAT </w:instrText>
    </w:r>
    <w:r>
      <w:fldChar w:fldCharType="separate"/>
    </w:r>
    <w:r w:rsidR="002F1710">
      <w:rPr>
        <w:noProof/>
      </w:rPr>
      <w:t>2</w:t>
    </w:r>
    <w:r>
      <w:fldChar w:fldCharType="end"/>
    </w:r>
  </w:p>
  <w:p w:rsidR="00B314A6" w:rsidRDefault="00B314A6" w:rsidP="00B314A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5417"/>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017A5"/>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F171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5417"/>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1272"/>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14A6"/>
    <w:rsid w:val="00B3656D"/>
    <w:rsid w:val="00B41E17"/>
    <w:rsid w:val="00B5785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553C6"/>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2F8670F-1DDC-4797-B9CC-719739FF72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B41E17"/>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B314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727184-9DF4-4AA6-9AB3-54A41A58E8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479</Words>
  <Characters>2662</Characters>
  <Application>Microsoft Office Word</Application>
  <DocSecurity>0</DocSecurity>
  <Lines>82</Lines>
  <Paragraphs>26</Paragraphs>
  <ScaleCrop>false</ScaleCrop>
  <HeadingPairs>
    <vt:vector size="2" baseType="variant">
      <vt:variant>
        <vt:lpstr>Title</vt:lpstr>
      </vt:variant>
      <vt:variant>
        <vt:i4>1</vt:i4>
      </vt:variant>
    </vt:vector>
  </HeadingPairs>
  <TitlesOfParts>
    <vt:vector size="1" baseType="lpstr">
      <vt:lpstr>verrelli/251_I1</vt:lpstr>
    </vt:vector>
  </TitlesOfParts>
  <Manager>R229</Manager>
  <Company>OFFICE of LEGISLATIVE SERVICES</Company>
  <LinksUpToDate>false</LinksUpToDate>
  <CharactersWithSpaces>3140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ACR52</dc:title>
  <dc:creator>Assemblyman  VERRELLI</dc:creator>
  <cp:keywords>ACR52|3|HS |254|0|0|!|0|</cp:keywords>
  <dc:description>PREFILED 2020</dc:description>
  <cp:lastModifiedBy>Bell, Careema</cp:lastModifiedBy>
  <cp:revision>2</cp:revision>
  <cp:lastPrinted>2005-07-29T18:13:00Z</cp:lastPrinted>
  <dcterms:created xsi:type="dcterms:W3CDTF">2019-12-27T17:54:00Z</dcterms:created>
  <dcterms:modified xsi:type="dcterms:W3CDTF">2019-12-27T17:54:00Z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