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ED1" w:rsidRDefault="008A3ED1" w:rsidP="008A3ED1">
      <w:pPr>
        <w:pStyle w:val="HangingAnAct"/>
        <w:suppressLineNumbers/>
        <w:rPr>
          <w:b/>
          <w:smallCaps/>
        </w:rPr>
        <w:sectPr w:rsidR="008A3ED1" w:rsidSect="00D35C42">
          <w:footerReference w:type="first" r:id="rId6"/>
          <w:pgSz w:w="12240" w:h="20160" w:code="5"/>
          <w:pgMar w:top="1440" w:right="2520" w:bottom="1728" w:left="2880" w:header="1181" w:footer="694" w:gutter="0"/>
          <w:lnNumType w:countBy="1"/>
          <w:cols w:space="720"/>
          <w:titlePg/>
          <w:docGrid w:linePitch="360"/>
        </w:sectPr>
      </w:pPr>
    </w:p>
    <w:p w:rsidR="008A3ED1" w:rsidRDefault="008A3ED1" w:rsidP="008A3ED1">
      <w:pPr>
        <w:ind w:left="6048"/>
      </w:pPr>
      <w:r>
        <w:t>Title 13.</w:t>
      </w:r>
    </w:p>
    <w:p w:rsidR="008A3ED1" w:rsidRDefault="008A3ED1" w:rsidP="008A3ED1">
      <w:pPr>
        <w:ind w:left="6048"/>
      </w:pPr>
      <w:r>
        <w:t>Chapter 1D.</w:t>
      </w:r>
    </w:p>
    <w:p w:rsidR="008A3ED1" w:rsidRDefault="008A3ED1" w:rsidP="008A3ED1">
      <w:pPr>
        <w:ind w:left="6048"/>
      </w:pPr>
      <w:r>
        <w:t>Part XI. (New)</w:t>
      </w:r>
    </w:p>
    <w:p w:rsidR="008A3ED1" w:rsidRDefault="008A3ED1" w:rsidP="008A3ED1">
      <w:pPr>
        <w:ind w:left="6048"/>
      </w:pPr>
      <w:r>
        <w:t xml:space="preserve">Overburdened </w:t>
      </w:r>
    </w:p>
    <w:p w:rsidR="008A3ED1" w:rsidRDefault="008A3ED1" w:rsidP="008A3ED1">
      <w:pPr>
        <w:ind w:left="6048"/>
      </w:pPr>
      <w:r>
        <w:t>Communities</w:t>
      </w:r>
    </w:p>
    <w:p w:rsidR="008A3ED1" w:rsidRDefault="008A3ED1" w:rsidP="008A3ED1">
      <w:pPr>
        <w:ind w:left="6048"/>
      </w:pPr>
      <w:r>
        <w:t>§§1-5 -</w:t>
      </w:r>
    </w:p>
    <w:p w:rsidR="008A3ED1" w:rsidRDefault="008A3ED1" w:rsidP="008A3ED1">
      <w:pPr>
        <w:ind w:left="6048"/>
      </w:pPr>
      <w:r>
        <w:t>C.13:1D-157 to</w:t>
      </w:r>
    </w:p>
    <w:p w:rsidR="008A3ED1" w:rsidRDefault="008A3ED1" w:rsidP="008A3ED1">
      <w:pPr>
        <w:ind w:left="6048"/>
      </w:pPr>
      <w:r>
        <w:t>13:1D-161</w:t>
      </w:r>
    </w:p>
    <w:p w:rsidR="008A3ED1" w:rsidRDefault="008A3ED1" w:rsidP="008A3ED1">
      <w:pPr>
        <w:ind w:left="6048"/>
      </w:pPr>
    </w:p>
    <w:p w:rsidR="008A3ED1" w:rsidRDefault="008A3ED1" w:rsidP="008A3ED1">
      <w:pPr>
        <w:sectPr w:rsidR="008A3ED1" w:rsidSect="008A3ED1">
          <w:type w:val="continuous"/>
          <w:pgSz w:w="12240" w:h="20160" w:code="5"/>
          <w:pgMar w:top="1440" w:right="1440" w:bottom="1728" w:left="2880" w:header="72" w:footer="720" w:gutter="0"/>
          <w:cols w:space="720"/>
          <w:titlePg/>
          <w:docGrid w:linePitch="360"/>
        </w:sectPr>
      </w:pPr>
    </w:p>
    <w:p w:rsidR="008A3ED1" w:rsidRDefault="008A3ED1" w:rsidP="008A3ED1">
      <w:pPr>
        <w:jc w:val="center"/>
      </w:pPr>
      <w:bookmarkStart w:id="0" w:name="LCPL"/>
      <w:bookmarkEnd w:id="0"/>
      <w:r>
        <w:t>P.L. 2020, CHAPTER 92,</w:t>
      </w:r>
      <w:r>
        <w:rPr>
          <w:b/>
          <w:i/>
        </w:rPr>
        <w:t xml:space="preserve"> approved September 18, 2020</w:t>
      </w:r>
    </w:p>
    <w:p w:rsidR="008A3ED1" w:rsidRDefault="008A3ED1" w:rsidP="008A3ED1">
      <w:pPr>
        <w:jc w:val="center"/>
      </w:pPr>
      <w:r>
        <w:t xml:space="preserve">Senate Committee Substitute </w:t>
      </w:r>
      <w:r w:rsidRPr="008A3ED1">
        <w:rPr>
          <w:rStyle w:val="BoldItal"/>
        </w:rPr>
        <w:t>(Second Reprint)</w:t>
      </w:r>
      <w:r>
        <w:t xml:space="preserve"> for Senate Committee Substitute for </w:t>
      </w:r>
    </w:p>
    <w:p w:rsidR="008A3ED1" w:rsidRDefault="008A3ED1" w:rsidP="008A3ED1">
      <w:pPr>
        <w:jc w:val="center"/>
      </w:pPr>
      <w:r>
        <w:t>Senate</w:t>
      </w:r>
      <w:r w:rsidR="00707AD8">
        <w:t>,</w:t>
      </w:r>
      <w:r>
        <w:t xml:space="preserve"> No. 232</w:t>
      </w:r>
    </w:p>
    <w:p w:rsidR="008A3ED1" w:rsidRDefault="008A3ED1" w:rsidP="008A3ED1">
      <w:pPr>
        <w:jc w:val="center"/>
      </w:pPr>
    </w:p>
    <w:p w:rsidR="008A3ED1" w:rsidRPr="008A3ED1" w:rsidRDefault="008A3ED1" w:rsidP="008A3ED1">
      <w:pPr>
        <w:jc w:val="center"/>
      </w:pPr>
    </w:p>
    <w:p w:rsidR="008A3ED1" w:rsidRPr="008A3ED1" w:rsidRDefault="008A3ED1" w:rsidP="008A3ED1">
      <w:pPr>
        <w:sectPr w:rsidR="008A3ED1" w:rsidRPr="008A3ED1" w:rsidSect="008A3ED1">
          <w:type w:val="continuous"/>
          <w:pgSz w:w="12240" w:h="20160" w:code="5"/>
          <w:pgMar w:top="2880" w:right="1440" w:bottom="1728" w:left="1440" w:header="72" w:footer="720" w:gutter="0"/>
          <w:cols w:space="720"/>
          <w:docGrid w:linePitch="360"/>
        </w:sectPr>
      </w:pPr>
    </w:p>
    <w:p w:rsidR="00B8189D" w:rsidRPr="00C22FA2" w:rsidRDefault="00344BE4" w:rsidP="00C22FA2">
      <w:pPr>
        <w:pStyle w:val="HangingAnAct"/>
        <w:rPr>
          <w:b/>
          <w:smallCaps/>
        </w:rPr>
      </w:pPr>
      <w:r>
        <w:rPr>
          <w:b/>
          <w:smallCaps/>
        </w:rPr>
        <w:t>An Act</w:t>
      </w:r>
      <w:r w:rsidR="00C22FA2">
        <w:t xml:space="preserve"> </w:t>
      </w:r>
      <w:r w:rsidR="005621CD">
        <w:rPr>
          <w:color w:val="000000"/>
        </w:rPr>
        <w:t xml:space="preserve">concerning the </w:t>
      </w:r>
      <w:r w:rsidR="001F01EA">
        <w:rPr>
          <w:color w:val="000000"/>
        </w:rPr>
        <w:t xml:space="preserve">disproportionate </w:t>
      </w:r>
      <w:r w:rsidR="005621CD">
        <w:rPr>
          <w:color w:val="000000"/>
        </w:rPr>
        <w:t xml:space="preserve">environmental and public health impacts of </w:t>
      </w:r>
      <w:r w:rsidR="001F01EA">
        <w:rPr>
          <w:color w:val="000000"/>
        </w:rPr>
        <w:t>pollution</w:t>
      </w:r>
      <w:r w:rsidR="005621CD">
        <w:rPr>
          <w:color w:val="000000"/>
        </w:rPr>
        <w:t xml:space="preserve"> on overburdened communities</w:t>
      </w:r>
      <w:r w:rsidR="005621CD" w:rsidRPr="00380E7F">
        <w:rPr>
          <w:color w:val="000000"/>
        </w:rPr>
        <w:t>, and supplementing Title 13 of the Revised Statutes.</w:t>
      </w:r>
      <w:r w:rsidR="005621CD">
        <w:rPr>
          <w:color w:val="000000"/>
        </w:rPr>
        <w:t xml:space="preserve">  </w:t>
      </w:r>
    </w:p>
    <w:p w:rsidR="004E3E31" w:rsidRDefault="004E3E31" w:rsidP="003562E8"/>
    <w:p w:rsidR="00111E33" w:rsidRDefault="00160116" w:rsidP="00160116">
      <w:pPr>
        <w:tabs>
          <w:tab w:val="left" w:pos="360"/>
        </w:tabs>
        <w:rPr>
          <w:i/>
        </w:rPr>
      </w:pPr>
      <w:r>
        <w:rPr>
          <w:b/>
        </w:rPr>
        <w:tab/>
      </w:r>
      <w:r w:rsidR="00344BE4">
        <w:rPr>
          <w:b/>
          <w:smallCaps/>
        </w:rPr>
        <w:t>Be It Enacted</w:t>
      </w:r>
      <w:r w:rsidR="004E3E31">
        <w:rPr>
          <w:sz w:val="20"/>
          <w:szCs w:val="20"/>
        </w:rPr>
        <w:t xml:space="preserve"> </w:t>
      </w:r>
      <w:r w:rsidR="00344BE4">
        <w:rPr>
          <w:i/>
        </w:rPr>
        <w:t>by the Senate and General Assembly of the State of New Jersey:</w:t>
      </w:r>
    </w:p>
    <w:p w:rsidR="0028394E" w:rsidRDefault="0028394E" w:rsidP="000673FE"/>
    <w:p w:rsidR="00C00D30" w:rsidRDefault="005621CD" w:rsidP="005621CD">
      <w:pPr>
        <w:spacing w:line="360" w:lineRule="atLeast"/>
      </w:pPr>
      <w:r>
        <w:tab/>
        <w:t>1.</w:t>
      </w:r>
      <w:r>
        <w:tab/>
        <w:t>The Legislature finds and declares that all New Jersey residents, regardless of income, race, ethnicity, color, or national origin, have a right to</w:t>
      </w:r>
      <w:r w:rsidR="005011C3">
        <w:t xml:space="preserve"> live, </w:t>
      </w:r>
      <w:r>
        <w:t>work</w:t>
      </w:r>
      <w:r w:rsidR="005011C3">
        <w:t>, and recreate</w:t>
      </w:r>
      <w:r>
        <w:t xml:space="preserve"> in a clean and healthy environment; that, historically, New Jersey’s low-income communities and communities of color have </w:t>
      </w:r>
      <w:r w:rsidR="000D6810">
        <w:t xml:space="preserve">been </w:t>
      </w:r>
      <w:r w:rsidR="008F6527">
        <w:t>subject</w:t>
      </w:r>
      <w:r w:rsidR="002E1F6C">
        <w:t xml:space="preserve"> to </w:t>
      </w:r>
      <w:r w:rsidR="008F6527">
        <w:t>a disproportionately high number of</w:t>
      </w:r>
      <w:r w:rsidR="00593BF1">
        <w:t xml:space="preserve"> environmental and public health stressors, including pollution </w:t>
      </w:r>
      <w:r w:rsidR="002E1F6C">
        <w:t>from numerous industrial, commercial, and governmental facilities located in those communities</w:t>
      </w:r>
      <w:r w:rsidR="000D6810">
        <w:t xml:space="preserve">; that, </w:t>
      </w:r>
      <w:r w:rsidR="002E1F6C">
        <w:t>as a result</w:t>
      </w:r>
      <w:r w:rsidR="000D6810">
        <w:t xml:space="preserve">, </w:t>
      </w:r>
      <w:r w:rsidR="00567681">
        <w:t>residents in the</w:t>
      </w:r>
      <w:r w:rsidR="00684D0C">
        <w:t xml:space="preserve"> State’s overburdened communities have suffered from </w:t>
      </w:r>
      <w:r w:rsidR="001D3220">
        <w:t>increased</w:t>
      </w:r>
      <w:r w:rsidR="008F5ED1">
        <w:t xml:space="preserve"> adverse health </w:t>
      </w:r>
      <w:r w:rsidR="00C20A6D">
        <w:t>effects</w:t>
      </w:r>
      <w:r w:rsidR="001D3220">
        <w:t xml:space="preserve"> including, but not limited to, </w:t>
      </w:r>
      <w:r w:rsidR="004E241E">
        <w:t xml:space="preserve">asthma, cancer, </w:t>
      </w:r>
      <w:r w:rsidR="001D3220">
        <w:t>elevated blood lead levels</w:t>
      </w:r>
      <w:r w:rsidR="005011C3">
        <w:t>, cardiovascular disease</w:t>
      </w:r>
      <w:r w:rsidR="00274703">
        <w:t xml:space="preserve">, and developmental </w:t>
      </w:r>
      <w:r w:rsidR="002E1F6C">
        <w:t>disorders</w:t>
      </w:r>
      <w:r w:rsidR="00684D0C">
        <w:t xml:space="preserve">; </w:t>
      </w:r>
      <w:r w:rsidR="002845A6">
        <w:t xml:space="preserve">that children are especially vulnerable to the adverse health effects caused by exposure to pollution, and that such health effects </w:t>
      </w:r>
      <w:r w:rsidR="00032C46">
        <w:t xml:space="preserve">may </w:t>
      </w:r>
      <w:r w:rsidR="002845A6">
        <w:t xml:space="preserve">severely limit a child’s potential for </w:t>
      </w:r>
      <w:r w:rsidR="000D6810">
        <w:t xml:space="preserve">future </w:t>
      </w:r>
      <w:r w:rsidR="002845A6">
        <w:t xml:space="preserve">success; </w:t>
      </w:r>
      <w:r w:rsidR="00567681">
        <w:t xml:space="preserve">that the </w:t>
      </w:r>
      <w:r w:rsidR="00875110">
        <w:t xml:space="preserve">adverse effects caused by </w:t>
      </w:r>
      <w:r w:rsidR="002E1F6C">
        <w:t>pollution</w:t>
      </w:r>
      <w:r w:rsidR="00567681">
        <w:t xml:space="preserve"> impede the growth, stability, and long-term well-being of </w:t>
      </w:r>
      <w:r w:rsidR="00032C46">
        <w:t xml:space="preserve">individuals and </w:t>
      </w:r>
      <w:r w:rsidR="00567681">
        <w:t xml:space="preserve">families living in overburdened communities; that </w:t>
      </w:r>
      <w:r w:rsidR="00684D0C">
        <w:t>the legacy of siting sources of pollution in overburdened communities continues to pose a threat to the</w:t>
      </w:r>
      <w:r w:rsidR="00674A86">
        <w:t xml:space="preserve"> health, </w:t>
      </w:r>
      <w:r w:rsidR="002845A6">
        <w:t>well-being</w:t>
      </w:r>
      <w:r w:rsidR="00674A86">
        <w:t>, and economic success</w:t>
      </w:r>
      <w:r w:rsidR="002845A6">
        <w:t xml:space="preserve"> of the</w:t>
      </w:r>
      <w:r w:rsidR="00684D0C">
        <w:t xml:space="preserve"> State’s most vulnerable residents</w:t>
      </w:r>
      <w:r w:rsidR="002C2C2D">
        <w:t>; and that it is past time for the State to correct this historical injustice</w:t>
      </w:r>
      <w:r w:rsidR="00684D0C">
        <w:t xml:space="preserve">.  </w:t>
      </w:r>
    </w:p>
    <w:p w:rsidR="005011C3" w:rsidRDefault="00815F02" w:rsidP="005621CD">
      <w:pPr>
        <w:spacing w:line="360" w:lineRule="atLeast"/>
      </w:pPr>
      <w:r>
        <w:tab/>
        <w:t xml:space="preserve">The Legislature </w:t>
      </w:r>
      <w:r w:rsidR="00C82CA3">
        <w:t>further finds and declares</w:t>
      </w:r>
      <w:r w:rsidR="005011C3">
        <w:t xml:space="preserve"> that no community should bear a disproportionate share of the adverse environmental and </w:t>
      </w:r>
      <w:r w:rsidR="00032C46">
        <w:t xml:space="preserve">public </w:t>
      </w:r>
      <w:r w:rsidR="005011C3">
        <w:t xml:space="preserve">health consequences </w:t>
      </w:r>
      <w:r w:rsidR="00032C46">
        <w:t xml:space="preserve">that accompany the State’s </w:t>
      </w:r>
      <w:r w:rsidR="00032C46">
        <w:lastRenderedPageBreak/>
        <w:t>economic growth</w:t>
      </w:r>
      <w:r w:rsidR="005011C3">
        <w:t xml:space="preserve">; that the State’s overburdened communities must have a meaningful opportunity to participate in any decision to </w:t>
      </w:r>
      <w:r w:rsidR="00A40421">
        <w:t>allow</w:t>
      </w:r>
      <w:r w:rsidR="00C82CA3">
        <w:t xml:space="preserve"> </w:t>
      </w:r>
      <w:r w:rsidR="005011C3">
        <w:t>in such communities certain types of facilities which, by the nature of their activity, have the potential to increase environmental and public health stressors; and that it is in the public interest for the State, where</w:t>
      </w:r>
      <w:r w:rsidR="008F6527">
        <w:t xml:space="preserve"> appropriate, to limit the </w:t>
      </w:r>
      <w:r w:rsidR="005011C3">
        <w:t xml:space="preserve">future placement and expansion of such facilities in overburdened communities.  </w:t>
      </w:r>
    </w:p>
    <w:p w:rsidR="00A852A2" w:rsidRDefault="00A852A2"/>
    <w:p w:rsidR="00BB05EF" w:rsidRDefault="00BB05EF" w:rsidP="00BB05EF">
      <w:r>
        <w:tab/>
        <w:t>2.</w:t>
      </w:r>
      <w:r>
        <w:tab/>
        <w:t xml:space="preserve">As used in this act: </w:t>
      </w:r>
    </w:p>
    <w:p w:rsidR="00BB05EF" w:rsidRDefault="00BB05EF" w:rsidP="00BB05EF">
      <w:r>
        <w:tab/>
        <w:t xml:space="preserve">“Department” means the Department of Environmental Protection.  </w:t>
      </w:r>
    </w:p>
    <w:p w:rsidR="00BB05EF" w:rsidRDefault="00BB05EF" w:rsidP="00BB05EF">
      <w:pPr>
        <w:spacing w:line="360" w:lineRule="atLeast"/>
        <w:rPr>
          <w:color w:val="000000"/>
        </w:rPr>
      </w:pPr>
      <w:r>
        <w:rPr>
          <w:color w:val="000000"/>
        </w:rPr>
        <w:tab/>
        <w:t xml:space="preserve">“Environmental or public health stressors” means sources of environmental pollution, including, but not limited to, concentrated areas of air pollution, mobile sources of air pollution, contaminated sites, </w:t>
      </w:r>
      <w:r>
        <w:t xml:space="preserve">transfer stations or other solid waste facilities, recycling facilities, scrap yards, and </w:t>
      </w:r>
      <w:r>
        <w:rPr>
          <w:color w:val="000000"/>
        </w:rPr>
        <w:t xml:space="preserve">point-sources of water pollution including, but not limited to, water pollution from facilities or combined sewer overflows; or conditions that may cause potential public health impacts, including, but not limited to, asthma, cancer, elevated blood lead levels, cardiovascular disease, and developmental problems in the overburdened community.  </w:t>
      </w:r>
    </w:p>
    <w:p w:rsidR="00BB05EF" w:rsidRDefault="00BB05EF" w:rsidP="00BB05EF">
      <w:pPr>
        <w:spacing w:line="360" w:lineRule="atLeast"/>
      </w:pPr>
      <w:r>
        <w:tab/>
        <w:t xml:space="preserve">“Facility” means 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w:t>
      </w:r>
      <w:r>
        <w:rPr>
          <w:rFonts w:ascii="Albertus Extra Bold" w:hAnsi="Albertus Extra Bold"/>
          <w:b/>
          <w:vertAlign w:val="superscript"/>
        </w:rPr>
        <w:t>1</w:t>
      </w:r>
      <w:r>
        <w:rPr>
          <w:u w:val="single"/>
        </w:rPr>
        <w:t>; except that “facility” shall not include a facility as defined in section 3 of P.L.1989, c.34 (C.13:1E-48.3)</w:t>
      </w:r>
      <w:r>
        <w:t xml:space="preserve"> </w:t>
      </w:r>
      <w:r>
        <w:rPr>
          <w:rFonts w:ascii="Albertus Extra Bold" w:hAnsi="Albertus Extra Bold"/>
          <w:b/>
          <w:vertAlign w:val="superscript"/>
        </w:rPr>
        <w:t>2</w:t>
      </w:r>
      <w:r>
        <w:rPr>
          <w:rFonts w:ascii="Albertus Extra Bold" w:hAnsi="Albertus Extra Bold"/>
          <w:b/>
        </w:rPr>
        <w:t>[</w:t>
      </w:r>
      <w:r>
        <w:rPr>
          <w:u w:val="single"/>
        </w:rPr>
        <w:t>, or regulated medical waste processing equipment</w:t>
      </w:r>
      <w:r>
        <w:rPr>
          <w:rFonts w:ascii="Albertus Extra Bold" w:hAnsi="Albertus Extra Bold"/>
          <w:b/>
        </w:rPr>
        <w:t>]</w:t>
      </w:r>
      <w:r>
        <w:t xml:space="preserve"> </w:t>
      </w:r>
      <w:r>
        <w:rPr>
          <w:u w:val="single"/>
        </w:rPr>
        <w:t>that accepts regulated medical waste for disposal</w:t>
      </w:r>
      <w:r>
        <w:rPr>
          <w:rFonts w:ascii="Albertus Extra Bold" w:hAnsi="Albertus Extra Bold"/>
          <w:b/>
          <w:vertAlign w:val="superscript"/>
        </w:rPr>
        <w:t>2</w:t>
      </w:r>
      <w:r>
        <w:t xml:space="preserve"> </w:t>
      </w:r>
      <w:r>
        <w:rPr>
          <w:u w:val="single"/>
        </w:rPr>
        <w:t>, including a medical waste incinerator, that is attendant to a hospital or university and intended to process self-generated regulated medical waste</w:t>
      </w:r>
      <w:r>
        <w:rPr>
          <w:rFonts w:ascii="Albertus Extra Bold" w:hAnsi="Albertus Extra Bold"/>
          <w:b/>
          <w:vertAlign w:val="superscript"/>
        </w:rPr>
        <w:t>1.</w:t>
      </w:r>
      <w:r>
        <w:t>.</w:t>
      </w:r>
    </w:p>
    <w:p w:rsidR="00BB05EF" w:rsidRDefault="00BB05EF" w:rsidP="00BB05EF">
      <w:pPr>
        <w:spacing w:line="360" w:lineRule="atLeast"/>
      </w:pPr>
      <w:r>
        <w:tab/>
        <w:t xml:space="preserve">“Limited English proficiency” means that a household does not have an adult that speaks English “very well” according to the United States Census Bureau.  </w:t>
      </w:r>
    </w:p>
    <w:p w:rsidR="00BB05EF" w:rsidRDefault="00BB05EF" w:rsidP="00BB05EF">
      <w:pPr>
        <w:spacing w:line="360" w:lineRule="atLeast"/>
      </w:pPr>
      <w:r>
        <w:tab/>
        <w:t xml:space="preserve">“Low-income household” means a household that is at or below twice the poverty threshold as that threshold is determined annually by the United States Census Bureau.  </w:t>
      </w:r>
    </w:p>
    <w:p w:rsidR="00BB05EF" w:rsidRDefault="00BB05EF" w:rsidP="00BB05EF">
      <w:pPr>
        <w:spacing w:line="360" w:lineRule="atLeast"/>
      </w:pPr>
      <w:r>
        <w:tab/>
        <w:t xml:space="preserve">“Major source” means a major source of air pollution as defined by the federal “Clean Air Act,” 42 U.S.C. s.7401 et seq., or in rules </w:t>
      </w:r>
      <w:r>
        <w:lastRenderedPageBreak/>
        <w:t xml:space="preserve">and regulations adopted by the department pursuant to the “Air Pollution Control Act,” P.L.1954, c.212 (C.26:2C-1 et seq.) </w:t>
      </w:r>
      <w:r>
        <w:rPr>
          <w:rFonts w:ascii="Albertus Extra Bold" w:hAnsi="Albertus Extra Bold"/>
          <w:b/>
          <w:vertAlign w:val="superscript"/>
        </w:rPr>
        <w:t>1</w:t>
      </w:r>
      <w:r>
        <w:rPr>
          <w:u w:val="single"/>
        </w:rPr>
        <w:t>or which directly emits, or has the potential to emit, one hundred tons per year or more of any air pollutant, or other applicable criteria set forth in the federal “Clean Air Act,” 42 U.S.C. s.7401 et seq.</w:t>
      </w:r>
      <w:r>
        <w:rPr>
          <w:rFonts w:ascii="Albertus Extra Bold" w:hAnsi="Albertus Extra Bold"/>
          <w:b/>
          <w:vertAlign w:val="superscript"/>
        </w:rPr>
        <w:t>1</w:t>
      </w:r>
      <w:r>
        <w:t xml:space="preserve"> </w:t>
      </w:r>
      <w:r>
        <w:rPr>
          <w:rFonts w:ascii="Albertus Extra Bold" w:hAnsi="Albertus Extra Bold"/>
          <w:b/>
          <w:vertAlign w:val="superscript"/>
        </w:rPr>
        <w:t>2</w:t>
      </w:r>
      <w:r>
        <w:rPr>
          <w:rFonts w:ascii="Albertus Extra Bold" w:hAnsi="Albertus Extra Bold"/>
          <w:b/>
        </w:rPr>
        <w:t>[</w:t>
      </w:r>
      <w:r>
        <w:t>.</w:t>
      </w:r>
      <w:r>
        <w:rPr>
          <w:rFonts w:ascii="Albertus Extra Bold" w:hAnsi="Albertus Extra Bold"/>
          <w:b/>
        </w:rPr>
        <w:t>]</w:t>
      </w:r>
      <w:r>
        <w:rPr>
          <w:rFonts w:ascii="Albertus Extra Bold" w:hAnsi="Albertus Extra Bold"/>
          <w:b/>
          <w:vertAlign w:val="superscript"/>
        </w:rPr>
        <w:t>2</w:t>
      </w:r>
    </w:p>
    <w:p w:rsidR="00BB05EF" w:rsidRDefault="00BB05EF" w:rsidP="00BB05EF">
      <w:pPr>
        <w:spacing w:line="360" w:lineRule="atLeast"/>
      </w:pPr>
      <w:r>
        <w:tab/>
        <w:t xml:space="preserve">“Overburdened community” means any census block group, as determined in accordance with the most recent United States Census, in which:  (1) at least 35 percent of the households qualify as low-income households; (2) at least 40 percent of the residents identify as minority or as members of a State recognized tribal community; or (3) at least 40 percent of the households have limited English proficiency.  </w:t>
      </w:r>
    </w:p>
    <w:p w:rsidR="00C36D0B" w:rsidRDefault="00BB05EF" w:rsidP="00BB05EF">
      <w:pPr>
        <w:spacing w:line="360" w:lineRule="atLeast"/>
      </w:pPr>
      <w:r>
        <w:tab/>
        <w:t xml:space="preserve">“Permit” means any individual permit, registration, or license issued by the department to a facility establishing the regulatory and management requirements for a regulated activity under the following State laws:  R.S.12:5-1 et seq.; P.L.1975, c.232 (C.13:1D-29 et al.); the “Solid Waste Management Act,” P.L.1970, c.39 (C.13:1E-1 et seq.); section 17 of P.L.1975, c.326 (C.13:1E-26); the “Comprehensive Regulated Medical Waste Management Act,” P.L.1989, c.34 (C.13:1E-48.1 et al.); P.L.1989, c.151 (C.13:1E-99.21a et al.); the “New Jersey Statewide Mandatory Source Separation and Recycling Act,” P.L.1987, c.102 (C.13:1E-99.11 et al.); the “Pesticide Control Act of 1971,” P.L.1971, c.176 (C.13:1F-1 et seq.); “The Wetlands Act of 1970,” P.L.1970, c.272 (C.13:9A-1 et seq.); the “Freshwater Wetlands Protection Act,” P.L.1987, c.156 (C.13:9B-1 et al.); the “Coastal Area Facility Review Act,” P.L.1973, c.185 (C.13:19-1 et seq.); the “Highlands Water Protection and Planning Act,” P.L.2004, c.120 (C.13:20-1 et seq.), the “Air Pollution Control Act (1954),” P.L.1954, c.212 (C.26:2C-1 et seq.); the “Water Supply Management Act,” P.L.1981, c.262 (C.58:1A-1 et al.); P.L.1947, c.377 (C.58:4A-5 et seq.); the “Water Pollution Control Act,” P.L.1977, c.74 (C.58:10A-1 et seq.); P.L.1986, c.102 (C.58:10A-21 et seq.); </w:t>
      </w:r>
      <w:r>
        <w:rPr>
          <w:rFonts w:ascii="Albertus Extra Bold" w:hAnsi="Albertus Extra Bold"/>
          <w:b/>
          <w:vertAlign w:val="superscript"/>
        </w:rPr>
        <w:t>1</w:t>
      </w:r>
      <w:r>
        <w:rPr>
          <w:u w:val="single"/>
        </w:rPr>
        <w:t>or</w:t>
      </w:r>
      <w:r>
        <w:rPr>
          <w:rFonts w:ascii="Albertus Extra Bold" w:hAnsi="Albertus Extra Bold"/>
          <w:b/>
          <w:vertAlign w:val="superscript"/>
        </w:rPr>
        <w:t xml:space="preserve">1 </w:t>
      </w:r>
      <w:r>
        <w:t xml:space="preserve">the “Flood Hazard Area Control Act,” P.L.1962, c.19 (C.58:16A-50 et seq.)  </w:t>
      </w:r>
      <w:r>
        <w:rPr>
          <w:rFonts w:ascii="Albertus Extra Bold" w:hAnsi="Albertus Extra Bold"/>
          <w:b/>
          <w:vertAlign w:val="superscript"/>
        </w:rPr>
        <w:t>1</w:t>
      </w:r>
      <w:r>
        <w:rPr>
          <w:u w:val="single"/>
        </w:rPr>
        <w:t>; except that “permit” shall not include any authorization or approval necessary to perform a remediation, as defined pursuant to section 23 of P.L.1993, c.139 (C.58:10B-1)</w:t>
      </w:r>
      <w:r>
        <w:rPr>
          <w:bCs/>
          <w:u w:val="single"/>
        </w:rPr>
        <w:t>, or any authorization or approval required for a minor modification of a facility’s major source permit for activities or improvements that do not increase emissions</w:t>
      </w:r>
      <w:r>
        <w:rPr>
          <w:rFonts w:ascii="Albertus Extra Bold" w:hAnsi="Albertus Extra Bold"/>
          <w:b/>
          <w:vertAlign w:val="superscript"/>
        </w:rPr>
        <w:t>1</w:t>
      </w:r>
      <w:r>
        <w:t xml:space="preserve"> .</w:t>
      </w:r>
    </w:p>
    <w:p w:rsidR="00BB05EF" w:rsidRPr="003A2920" w:rsidRDefault="00BB05EF" w:rsidP="00BB05EF">
      <w:pPr>
        <w:spacing w:line="360" w:lineRule="atLeast"/>
      </w:pPr>
    </w:p>
    <w:p w:rsidR="00C36D0B" w:rsidRPr="003A2920" w:rsidRDefault="00C36D0B" w:rsidP="00C36D0B">
      <w:pPr>
        <w:spacing w:line="360" w:lineRule="atLeast"/>
      </w:pPr>
      <w:r>
        <w:tab/>
        <w:t>3</w:t>
      </w:r>
      <w:r w:rsidRPr="003A2920">
        <w:t>.</w:t>
      </w:r>
      <w:r>
        <w:tab/>
      </w:r>
      <w:r w:rsidRPr="003A2920">
        <w:t>No later than 120 days after the effective date of this act, the department shall publish</w:t>
      </w:r>
      <w:r>
        <w:t xml:space="preserve"> and maintain</w:t>
      </w:r>
      <w:r w:rsidRPr="003A2920">
        <w:t xml:space="preserve"> on its Internet website a list </w:t>
      </w:r>
      <w:r w:rsidRPr="003A2920">
        <w:lastRenderedPageBreak/>
        <w:t>of overburdened communities</w:t>
      </w:r>
      <w:r>
        <w:t xml:space="preserve"> in the State</w:t>
      </w:r>
      <w:r w:rsidRPr="003A2920">
        <w:t>.</w:t>
      </w:r>
      <w:r>
        <w:t xml:space="preserve">  The department shall update the list of overburdened communities at least once every two years.  The department shall notify a municipality if any part of the municipality has been designated an overburdened community pursuant to this act.  </w:t>
      </w:r>
    </w:p>
    <w:p w:rsidR="00C36D0B" w:rsidRPr="003A2920" w:rsidRDefault="00C36D0B" w:rsidP="00C36D0B">
      <w:pPr>
        <w:spacing w:line="360" w:lineRule="atLeast"/>
      </w:pPr>
    </w:p>
    <w:p w:rsidR="00BB05EF" w:rsidRDefault="00BB05EF" w:rsidP="00BB05EF">
      <w:pPr>
        <w:spacing w:line="360" w:lineRule="atLeast"/>
      </w:pPr>
      <w:r>
        <w:tab/>
        <w:t>4.</w:t>
      </w:r>
      <w:r>
        <w:tab/>
        <w:t xml:space="preserve">a. Beginning </w:t>
      </w:r>
      <w:r>
        <w:rPr>
          <w:rFonts w:ascii="Albertus Extra Bold" w:hAnsi="Albertus Extra Bold"/>
          <w:b/>
          <w:vertAlign w:val="superscript"/>
        </w:rPr>
        <w:t>1</w:t>
      </w:r>
      <w:r>
        <w:rPr>
          <w:rFonts w:ascii="Albertus Extra Bold" w:hAnsi="Albertus Extra Bold"/>
          <w:b/>
        </w:rPr>
        <w:t>[</w:t>
      </w:r>
      <w:r>
        <w:t>180 days after the effective date</w:t>
      </w:r>
      <w:r>
        <w:rPr>
          <w:rFonts w:ascii="Albertus Extra Bold" w:hAnsi="Albertus Extra Bold"/>
          <w:b/>
        </w:rPr>
        <w:t>]</w:t>
      </w:r>
      <w:r>
        <w:t xml:space="preserve"> </w:t>
      </w:r>
      <w:r>
        <w:rPr>
          <w:u w:val="single"/>
        </w:rPr>
        <w:t>immediately upon the adoption of the rules and regulations required pursuant to section 5</w:t>
      </w:r>
      <w:r>
        <w:rPr>
          <w:rFonts w:ascii="Albertus Extra Bold" w:hAnsi="Albertus Extra Bold"/>
          <w:b/>
          <w:vertAlign w:val="superscript"/>
        </w:rPr>
        <w:t>1</w:t>
      </w:r>
      <w:r>
        <w:t xml:space="preserve"> of this act, the department shall not consider complete for review any application for a permit for a new facility or for the expansion of an existing facility, or any application for the renewal of an existing facility’s major source permit, if the facility is located, or proposed to be located, in whole or in part, in an overburdened community, unless the permit applicant first: </w:t>
      </w:r>
    </w:p>
    <w:p w:rsidR="00BB05EF" w:rsidRDefault="00BB05EF" w:rsidP="00BB05EF">
      <w:pPr>
        <w:spacing w:line="360" w:lineRule="atLeast"/>
      </w:pPr>
      <w:r>
        <w:tab/>
        <w:t>(1)</w:t>
      </w:r>
      <w:r>
        <w:tab/>
        <w:t xml:space="preserve">Prepares an environmental justice impact statement that assesses the potential environmental and public health stressors associated with the proposed new or expanded facility, or with the existing major source, as applicable, including any adverse environmental or public health stressors that cannot be avoided if the permit is granted, and the environmental or public health stressors already borne by the overburdened community as a result of existing conditions located in or affecting the overburdened community;  </w:t>
      </w:r>
    </w:p>
    <w:p w:rsidR="00BB05EF" w:rsidRDefault="00BB05EF" w:rsidP="00BB05EF">
      <w:pPr>
        <w:spacing w:line="360" w:lineRule="atLeast"/>
      </w:pPr>
      <w:r>
        <w:tab/>
        <w:t>(2)</w:t>
      </w:r>
      <w:r>
        <w:tab/>
        <w:t xml:space="preserve">Transmits the environmental justice impact statement required to be prepared pursuant to paragraph (1) of this subsection, at least 60 days in advance of the public hearing required pursuant to paragraph (3) of this subsection, to the department and to the governing body and the clerk of the municipality in which the overburdened community is located.  Upon receipt, the department shall publish the environmental justice impact statement on its Internet website; and </w:t>
      </w:r>
    </w:p>
    <w:p w:rsidR="00BB05EF" w:rsidRDefault="00BB05EF" w:rsidP="00BB05EF">
      <w:pPr>
        <w:spacing w:line="360" w:lineRule="atLeast"/>
      </w:pPr>
      <w:r>
        <w:tab/>
        <w:t>(3)</w:t>
      </w:r>
      <w:r>
        <w:tab/>
        <w:t xml:space="preserve">Organizes and conducts a public hearing in the overburdened community.  The permit applicant shall publish a notice of the public hearing in at least two newspapers circulating within the overburdened community, including one local non-English language newspaper, if applicable, not less than 60 days prior to the public hearing.  The permit applicant shall provide a copy of the notice to the department, and the department shall publish the notice on its Internet website and in the monthly bulletin published pursuant to section 6 of P.L.1975, c.232 (C.13:1D-34).  The notice of the public hearing shall provide the date, time, and location of the public hearing, a description of the proposed new or expanded facility or existing major source, as applicable, a map indicating the </w:t>
      </w:r>
      <w:r>
        <w:lastRenderedPageBreak/>
        <w:t xml:space="preserve">location of the facility, a brief summary of the environmental justice impact statement, information on how an interested person may review a copy of the complete environmental justice impact statement, an address for the submittal of written comments to the permit applicant, and any other information deemed appropriate by the department.  At least 60 days prior to the public hearing, the permit applicant shall send a copy of the notice to the department and to the governing body and the clerk of the municipality in which the overburdened community is located.  The applicant shall invite the municipality to participate in the public hearing.  At the public hearing, the permit applicant shall provide clear, accurate, and complete information about the proposed new or expanded facility, or existing major source, as applicable, and the potential environmental and public health stressors associated with the facility.  The permit applicant shall accept written and oral comments from any interested party, and provided an opportunity for meaningful public participation at the public hearing.  The permit applicant shall transcribe the public hearing and, no later than 10 days after the public hearing, submit the transcript along with any written comments received, to the department.  Following the public hearing, the department shall consider the testimony presented and any written comments received, and evaluate the issuance of, or conditions to, the permit, as necessary in order to avoid or reduce the adverse environmental or public health stressors affecting the overburdened community.  </w:t>
      </w:r>
    </w:p>
    <w:p w:rsidR="00BB05EF" w:rsidRDefault="00BB05EF" w:rsidP="00BB05EF">
      <w:pPr>
        <w:spacing w:line="360" w:lineRule="atLeast"/>
      </w:pPr>
      <w:r>
        <w:tab/>
        <w:t xml:space="preserve">The department may require the applicant to consolidate the public hearing held pursuant to this paragraph with any other public hearing held or required by the department regarding the permit application, provided the public hearing meets the other requirements of this paragraph.  </w:t>
      </w:r>
      <w:r>
        <w:rPr>
          <w:rFonts w:ascii="Albertus Extra Bold" w:hAnsi="Albertus Extra Bold"/>
          <w:b/>
          <w:vertAlign w:val="superscript"/>
        </w:rPr>
        <w:t>2</w:t>
      </w:r>
      <w:r>
        <w:rPr>
          <w:u w:val="single"/>
        </w:rPr>
        <w:t>The department shall consider a request by a permit applicant to consolidate required public hearings and, if the request is granted by the department, the consolidation shall not preclude an application from being deemed complete for review pursuant to subsection a. of this section.</w:t>
      </w:r>
      <w:r>
        <w:rPr>
          <w:rFonts w:ascii="Albertus Extra Bold" w:hAnsi="Albertus Extra Bold"/>
          <w:b/>
          <w:vertAlign w:val="superscript"/>
        </w:rPr>
        <w:t>2</w:t>
      </w:r>
      <w:r>
        <w:t xml:space="preserve"> </w:t>
      </w:r>
    </w:p>
    <w:p w:rsidR="00BB05EF" w:rsidRDefault="00BB05EF" w:rsidP="00BB05EF">
      <w:pPr>
        <w:spacing w:line="360" w:lineRule="atLeast"/>
      </w:pPr>
      <w:r>
        <w:tab/>
        <w:t>b.</w:t>
      </w:r>
      <w:r>
        <w:tab/>
        <w:t xml:space="preserve">Notwithstanding the provisions of P.L.1975, c.232 (C.13:1D-29 et seq.) or any other law, or rule or regulation adopted pursuant thereto, to the contrary, the department shall not issue a decision on an application for a permit for a new facility or for the expansion of an existing facility, or on an application for the renewal of an existing facility’s major source permit, if such facility is located, or proposed to be located, in whole or in part in an overburdened community until at least 45 days after the public </w:t>
      </w:r>
      <w:r>
        <w:lastRenderedPageBreak/>
        <w:t xml:space="preserve">hearing held pursuant to paragraph (3) of subsection a. of this subsection.  </w:t>
      </w:r>
    </w:p>
    <w:p w:rsidR="00BB05EF" w:rsidRDefault="00BB05EF" w:rsidP="00BB05EF">
      <w:pPr>
        <w:spacing w:line="360" w:lineRule="atLeast"/>
      </w:pPr>
      <w:bookmarkStart w:id="1" w:name="_Hlk13759916"/>
      <w:r>
        <w:tab/>
        <w:t>c.</w:t>
      </w:r>
      <w:r>
        <w:tab/>
        <w:t xml:space="preserve">Notwithstanding the provisions of any other law, or rule or regulation adopted pursuant thereto, to the contrary, the department shall, after review of the environmental justice impact statement prepared pursuant to paragraph (1) of subsection a. of this section and any other relevant information, including testimony and written comments received at the public hearing, deny a permit for a new facility </w:t>
      </w:r>
      <w:r>
        <w:rPr>
          <w:rFonts w:ascii="Albertus Extra Bold" w:hAnsi="Albertus Extra Bold"/>
          <w:b/>
          <w:vertAlign w:val="superscript"/>
        </w:rPr>
        <w:t>1</w:t>
      </w:r>
      <w:r>
        <w:rPr>
          <w:rFonts w:ascii="Albertus Extra Bold" w:hAnsi="Albertus Extra Bold"/>
          <w:b/>
        </w:rPr>
        <w:t>[</w:t>
      </w:r>
      <w:r>
        <w:t>or for the expansion of an existing facility, or apply new conditions to the renewal of an existing facility’s major source permit,</w:t>
      </w:r>
      <w:r>
        <w:rPr>
          <w:rFonts w:ascii="Albertus Extra Bold" w:hAnsi="Albertus Extra Bold"/>
          <w:b/>
        </w:rPr>
        <w:t>]</w:t>
      </w:r>
      <w:r>
        <w:rPr>
          <w:rFonts w:ascii="Albertus Extra Bold" w:hAnsi="Albertus Extra Bold"/>
          <w:b/>
          <w:vertAlign w:val="superscript"/>
        </w:rPr>
        <w:t xml:space="preserve">1 </w:t>
      </w:r>
      <w:r>
        <w:t xml:space="preserve"> upon a finding that approval of the permit </w:t>
      </w:r>
      <w:r>
        <w:rPr>
          <w:rFonts w:ascii="Albertus Extra Bold" w:hAnsi="Albertus Extra Bold"/>
          <w:b/>
          <w:vertAlign w:val="superscript"/>
        </w:rPr>
        <w:t>1</w:t>
      </w:r>
      <w:r>
        <w:rPr>
          <w:rFonts w:ascii="Albertus Extra Bold" w:hAnsi="Albertus Extra Bold"/>
          <w:b/>
        </w:rPr>
        <w:t>[</w:t>
      </w:r>
      <w:r>
        <w:t>or permit renewal</w:t>
      </w:r>
      <w:r>
        <w:rPr>
          <w:rFonts w:ascii="Albertus Extra Bold" w:hAnsi="Albertus Extra Bold"/>
          <w:b/>
        </w:rPr>
        <w:t>]</w:t>
      </w:r>
      <w:r>
        <w:rPr>
          <w:rFonts w:ascii="Albertus Extra Bold" w:hAnsi="Albertus Extra Bold"/>
          <w:b/>
          <w:vertAlign w:val="superscript"/>
        </w:rPr>
        <w:t>1</w:t>
      </w:r>
      <w:r>
        <w:t xml:space="preserve"> ,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w:t>
      </w:r>
      <w:r>
        <w:rPr>
          <w:rFonts w:ascii="Albertus Extra Bold" w:hAnsi="Albertus Extra Bold"/>
          <w:b/>
          <w:vertAlign w:val="superscript"/>
        </w:rPr>
        <w:t>1</w:t>
      </w:r>
      <w:r>
        <w:rPr>
          <w:u w:val="single"/>
        </w:rPr>
        <w:t>adopted or issued pursuant to section 5 of this act, except that where the department determines that a new</w:t>
      </w:r>
      <w:r>
        <w:t xml:space="preserve"> </w:t>
      </w:r>
      <w:r>
        <w:rPr>
          <w:rFonts w:ascii="Albertus Extra Bold" w:hAnsi="Albertus Extra Bold"/>
          <w:b/>
          <w:vertAlign w:val="superscript"/>
        </w:rPr>
        <w:t>2</w:t>
      </w:r>
      <w:r>
        <w:rPr>
          <w:rFonts w:ascii="Albertus Extra Bold" w:hAnsi="Albertus Extra Bold"/>
          <w:b/>
        </w:rPr>
        <w:t>[</w:t>
      </w:r>
      <w:r>
        <w:rPr>
          <w:u w:val="single"/>
        </w:rPr>
        <w:t>or expanded</w:t>
      </w:r>
      <w:r>
        <w:rPr>
          <w:rFonts w:ascii="Albertus Extra Bold" w:hAnsi="Albertus Extra Bold"/>
          <w:b/>
        </w:rPr>
        <w:t>]</w:t>
      </w:r>
      <w:r>
        <w:rPr>
          <w:rFonts w:ascii="Albertus Extra Bold" w:hAnsi="Albertus Extra Bold"/>
          <w:b/>
          <w:vertAlign w:val="superscript"/>
        </w:rPr>
        <w:t xml:space="preserve">2 </w:t>
      </w:r>
      <w:r>
        <w:rPr>
          <w:u w:val="single"/>
        </w:rPr>
        <w:t>facility will serve a compelling public interest in the community where it is to be located, the department may grant a permit that imposes conditions on the construction and operation of the facility to protect public health</w:t>
      </w:r>
      <w:r>
        <w:rPr>
          <w:rFonts w:ascii="Albertus Extra Bold" w:hAnsi="Albertus Extra Bold"/>
          <w:b/>
          <w:vertAlign w:val="superscript"/>
        </w:rPr>
        <w:t>1</w:t>
      </w:r>
      <w:r>
        <w:t xml:space="preserve"> .</w:t>
      </w:r>
    </w:p>
    <w:p w:rsidR="00BB05EF" w:rsidRDefault="00BB05EF" w:rsidP="00BB05EF">
      <w:pPr>
        <w:spacing w:line="360" w:lineRule="atLeast"/>
      </w:pPr>
      <w:r>
        <w:tab/>
        <w:t>d.</w:t>
      </w:r>
      <w:r>
        <w:tab/>
      </w:r>
      <w:r>
        <w:rPr>
          <w:rFonts w:ascii="Albertus Extra Bold" w:hAnsi="Albertus Extra Bold"/>
          <w:b/>
          <w:vertAlign w:val="superscript"/>
        </w:rPr>
        <w:t>1</w:t>
      </w:r>
      <w:r>
        <w:rPr>
          <w:u w:val="single"/>
        </w:rPr>
        <w:t>Notwithstanding the provisions of any other law, or rule or regulation adopted pursuant thereto, to the contrary, the department may, after review of the environmental justice impact statement prepared pursuant to paragraph (1) of subsection a. of this section and any other relevant information, including testimony and written comments received at the public hearing, apply conditions to a permit for the expansion of an existing facility, or the renewal of an existing facility’s major source permit, concerning the construction and operation of the facility to protect public health,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adopted or issued pursuant to section 5 of this act.</w:t>
      </w:r>
    </w:p>
    <w:p w:rsidR="00BB05EF" w:rsidRDefault="00BB05EF" w:rsidP="00BB05EF">
      <w:pPr>
        <w:spacing w:line="360" w:lineRule="atLeast"/>
      </w:pPr>
      <w:r>
        <w:lastRenderedPageBreak/>
        <w:tab/>
      </w:r>
      <w:r>
        <w:rPr>
          <w:u w:val="single"/>
        </w:rPr>
        <w:t>e.</w:t>
      </w:r>
      <w:r>
        <w:rPr>
          <w:rFonts w:ascii="Albertus Extra Bold" w:hAnsi="Albertus Extra Bold"/>
          <w:b/>
          <w:vertAlign w:val="superscript"/>
        </w:rPr>
        <w:t>1</w:t>
      </w:r>
      <w:r>
        <w:tab/>
        <w:t>If a permit applicant is applying for more than one permit for a proposed new or expanded facility, the permit applicant shall only be required to comply with the provisions of this section once, unless the department, in its discretion, determines that more than one public hearing is necessary due to the complexity of the permit applications necessary for the proposed new or expanded facility.  Nothing in this section shall be construed to limit the authority of the department to hold or require additional public hearings, as may be required by any other law, rule, or regulation.</w:t>
      </w:r>
    </w:p>
    <w:bookmarkEnd w:id="1"/>
    <w:p w:rsidR="00BB05EF" w:rsidRDefault="00BB05EF" w:rsidP="00BB05EF">
      <w:pPr>
        <w:spacing w:line="360" w:lineRule="atLeast"/>
        <w:rPr>
          <w:u w:val="single"/>
        </w:rPr>
      </w:pPr>
      <w:r>
        <w:tab/>
      </w:r>
      <w:r>
        <w:rPr>
          <w:rFonts w:ascii="Albertus Extra Bold" w:hAnsi="Albertus Extra Bold"/>
          <w:b/>
          <w:vertAlign w:val="superscript"/>
        </w:rPr>
        <w:t>1</w:t>
      </w:r>
      <w:r>
        <w:rPr>
          <w:rFonts w:ascii="Albertus Extra Bold" w:hAnsi="Albertus Extra Bold"/>
          <w:b/>
        </w:rPr>
        <w:t>[</w:t>
      </w:r>
      <w:r>
        <w:t>e.</w:t>
      </w:r>
      <w:r>
        <w:rPr>
          <w:rFonts w:ascii="Albertus Extra Bold" w:hAnsi="Albertus Extra Bold"/>
          <w:b/>
        </w:rPr>
        <w:t xml:space="preserve">] </w:t>
      </w:r>
      <w:r>
        <w:rPr>
          <w:u w:val="single"/>
        </w:rPr>
        <w:t>f.</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Nothing in this section shall be construed to limit the right of an applicant to continue facility operations during the process of permit renewal to the extent such right is conveyed by applicable law, rule, or regulation, including the application shield provisions of the rules and regulations adopted pursuant to the “Air Pollution Control Act (1954),” P.L.1954, c.212 (C.26:2C-1 et seq.).</w:t>
      </w:r>
    </w:p>
    <w:p w:rsidR="00BB05EF" w:rsidRDefault="00BB05EF" w:rsidP="00BB05EF">
      <w:pPr>
        <w:spacing w:line="360" w:lineRule="atLeast"/>
      </w:pPr>
      <w:r>
        <w:tab/>
      </w:r>
      <w:r>
        <w:rPr>
          <w:u w:val="single"/>
        </w:rPr>
        <w:t>g.</w:t>
      </w:r>
      <w:r>
        <w:rPr>
          <w:rFonts w:ascii="Albertus Extra Bold" w:hAnsi="Albertus Extra Bold"/>
          <w:b/>
          <w:vertAlign w:val="superscript"/>
        </w:rPr>
        <w:t xml:space="preserve">2 </w:t>
      </w:r>
      <w:r>
        <w:t xml:space="preserve"> In addition to any other fee authorized by law, rule, or regulation, the department shall assess each permit applicant a reasonable fee in order to cover the department’s costs associated with the implementation of this act, including costs to provide technical assistance to permit applicants and overburdened communities as needed to comply with this act. </w:t>
      </w:r>
    </w:p>
    <w:p w:rsidR="00C36D0B" w:rsidRDefault="00C36D0B" w:rsidP="00C36D0B">
      <w:pPr>
        <w:spacing w:line="360" w:lineRule="atLeast"/>
      </w:pPr>
    </w:p>
    <w:p w:rsidR="00C36D0B" w:rsidRDefault="00C36D0B" w:rsidP="00C36D0B">
      <w:pPr>
        <w:spacing w:line="360" w:lineRule="atLeast"/>
      </w:pPr>
      <w:r>
        <w:tab/>
        <w:t>5</w:t>
      </w:r>
      <w:r w:rsidRPr="003A2920">
        <w:t>.</w:t>
      </w:r>
      <w:r>
        <w:tab/>
        <w:t xml:space="preserve">a. </w:t>
      </w:r>
      <w:r w:rsidRPr="003A2920">
        <w:t xml:space="preserve">The </w:t>
      </w:r>
      <w:r>
        <w:t>department</w:t>
      </w:r>
      <w:r w:rsidRPr="003A2920">
        <w:t xml:space="preserve"> </w:t>
      </w:r>
      <w:r>
        <w:t>shall</w:t>
      </w:r>
      <w:r w:rsidRPr="003A2920">
        <w:t xml:space="preserve"> adopt, pursuant to the “Administrative Procedure Act,” P.L.1968, c.410 (C.52:14B-1</w:t>
      </w:r>
      <w:r w:rsidR="00A313C0">
        <w:t> </w:t>
      </w:r>
      <w:r w:rsidRPr="003A2920">
        <w:t>et</w:t>
      </w:r>
      <w:r w:rsidR="00A313C0">
        <w:t> </w:t>
      </w:r>
      <w:r w:rsidRPr="003A2920">
        <w:t>seq.)</w:t>
      </w:r>
      <w:r w:rsidR="00A313C0">
        <w:t> </w:t>
      </w:r>
      <w:r w:rsidRPr="003A2920">
        <w:t>rules and regulations to implement the provisions of this act.</w:t>
      </w:r>
    </w:p>
    <w:p w:rsidR="00C36D0B" w:rsidRPr="003A2920" w:rsidRDefault="00C36D0B" w:rsidP="00C36D0B">
      <w:pPr>
        <w:spacing w:line="360" w:lineRule="atLeast"/>
      </w:pPr>
      <w:r>
        <w:tab/>
        <w:t>b.</w:t>
      </w:r>
      <w:r w:rsidR="00A313C0">
        <w:tab/>
      </w:r>
      <w:r>
        <w:t xml:space="preserve">The </w:t>
      </w:r>
      <w:r w:rsidR="00285739">
        <w:t>d</w:t>
      </w:r>
      <w:r>
        <w:t xml:space="preserve">epartment may issue </w:t>
      </w:r>
      <w:r w:rsidR="00285739">
        <w:t>a technical guidance for compliance with this act, which the department shall publish on its Internet website.</w:t>
      </w:r>
      <w:r w:rsidR="006905FF">
        <w:t xml:space="preserve">  </w:t>
      </w:r>
    </w:p>
    <w:p w:rsidR="00C36D0B" w:rsidRPr="003A2920" w:rsidRDefault="00C36D0B" w:rsidP="00C36D0B">
      <w:pPr>
        <w:spacing w:line="360" w:lineRule="atLeast"/>
      </w:pPr>
      <w:r w:rsidRPr="003A2920">
        <w:t> </w:t>
      </w:r>
    </w:p>
    <w:p w:rsidR="00C36D0B" w:rsidRDefault="00C36D0B" w:rsidP="00C36D0B">
      <w:pPr>
        <w:spacing w:line="360" w:lineRule="atLeast"/>
      </w:pPr>
      <w:r>
        <w:tab/>
      </w:r>
      <w:r w:rsidR="00435FD8">
        <w:t>6</w:t>
      </w:r>
      <w:r w:rsidRPr="003A2920">
        <w:t>.</w:t>
      </w:r>
      <w:r>
        <w:tab/>
      </w:r>
      <w:r w:rsidRPr="003A2920">
        <w:t>This act shall take effect</w:t>
      </w:r>
      <w:r w:rsidR="00276820">
        <w:t xml:space="preserve"> </w:t>
      </w:r>
      <w:r w:rsidRPr="003A2920">
        <w:t>immediately.</w:t>
      </w:r>
      <w:r>
        <w:t xml:space="preserve">  </w:t>
      </w:r>
    </w:p>
    <w:p w:rsidR="008A3ED1" w:rsidRDefault="008A3ED1" w:rsidP="00C36D0B">
      <w:pPr>
        <w:spacing w:line="360" w:lineRule="atLeast"/>
      </w:pPr>
    </w:p>
    <w:p w:rsidR="008A3ED1" w:rsidRDefault="008A3ED1" w:rsidP="00C36D0B">
      <w:pPr>
        <w:spacing w:line="360" w:lineRule="atLeast"/>
      </w:pPr>
    </w:p>
    <w:p w:rsidR="008A3ED1" w:rsidRDefault="008A3ED1" w:rsidP="008A3ED1">
      <w:pPr>
        <w:spacing w:line="360" w:lineRule="atLeast"/>
        <w:jc w:val="center"/>
      </w:pPr>
      <w:r>
        <w:rPr>
          <w:u w:val="single"/>
        </w:rPr>
        <w:t>                                </w:t>
      </w:r>
    </w:p>
    <w:p w:rsidR="008A3ED1" w:rsidRDefault="008A3ED1" w:rsidP="008A3ED1">
      <w:pPr>
        <w:spacing w:line="360" w:lineRule="atLeast"/>
        <w:jc w:val="center"/>
      </w:pPr>
    </w:p>
    <w:p w:rsidR="008A3ED1" w:rsidRPr="008A3ED1" w:rsidRDefault="008A3ED1" w:rsidP="00A32009">
      <w:bookmarkStart w:id="2" w:name="_GoBack"/>
      <w:bookmarkEnd w:id="2"/>
      <w:r>
        <w:tab/>
        <w:t xml:space="preserve">Requires DEP to evaluate environmental and public health stressors of certain facilities on overburdened communities when reviewing certain permit applications. </w:t>
      </w:r>
    </w:p>
    <w:sectPr w:rsidR="008A3ED1" w:rsidRPr="008A3ED1" w:rsidSect="008A3ED1">
      <w:headerReference w:type="default" r:id="rId7"/>
      <w:footerReference w:type="default" r:id="rId8"/>
      <w:type w:val="continuous"/>
      <w:pgSz w:w="12240" w:h="20160" w:code="5"/>
      <w:pgMar w:top="1440" w:right="2520" w:bottom="1728" w:left="2880" w:header="1181" w:footer="69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BE4" w:rsidRDefault="00344BE4">
      <w:r>
        <w:separator/>
      </w:r>
    </w:p>
  </w:endnote>
  <w:endnote w:type="continuationSeparator" w:id="0">
    <w:p w:rsidR="00344BE4" w:rsidRDefault="0034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919" w:rsidRPr="00921C91" w:rsidRDefault="00B639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919" w:rsidRPr="00921C91" w:rsidRDefault="00B63919">
    <w:pPr>
      <w:pStyle w:val="Footer"/>
      <w:rPr>
        <w:szCs w:val="18"/>
      </w:rPr>
    </w:pPr>
  </w:p>
  <w:p w:rsidR="00B63919" w:rsidRPr="00921C91" w:rsidRDefault="00B639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919" w:rsidRDefault="00B63919">
    <w:pPr>
      <w:pStyle w:val="Footer"/>
    </w:pPr>
    <w:r>
      <w:tab/>
      <w:t>Matter enclosed in superscript numerals has been adopted as follows:</w:t>
    </w:r>
  </w:p>
  <w:p w:rsidR="00B63919" w:rsidRDefault="00B6391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July 20, 2020.</w:t>
    </w:r>
  </w:p>
  <w:p w:rsidR="00B63919" w:rsidRDefault="00BB05E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ED1" w:rsidRDefault="008A3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BE4" w:rsidRDefault="00344BE4">
      <w:r>
        <w:separator/>
      </w:r>
    </w:p>
  </w:footnote>
  <w:footnote w:type="continuationSeparator" w:id="0">
    <w:p w:rsidR="00344BE4" w:rsidRDefault="0034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ED1" w:rsidRDefault="008A3ED1" w:rsidP="008A3ED1">
    <w:pPr>
      <w:pStyle w:val="bpuHeadSpon"/>
    </w:pPr>
  </w:p>
  <w:p w:rsidR="008A3ED1" w:rsidRPr="009922B4" w:rsidRDefault="008A3ED1" w:rsidP="008A3ED1">
    <w:pPr>
      <w:pStyle w:val="bpuHeadSpon"/>
      <w:rPr>
        <w:rStyle w:val="bpuHeadSponChar"/>
        <w:b w:val="0"/>
      </w:rPr>
    </w:pPr>
    <w:r>
      <w:t xml:space="preserve">[2R] SCS for </w:t>
    </w:r>
    <w:r w:rsidRPr="004720C1">
      <w:rPr>
        <w:b/>
      </w:rPr>
      <w:t>S232</w:t>
    </w:r>
    <w:r w:rsidR="009922B4">
      <w:rPr>
        <w:b/>
      </w:rPr>
      <w:t xml:space="preserve"> </w:t>
    </w:r>
    <w:r w:rsidR="009922B4">
      <w:t>SCS</w:t>
    </w:r>
  </w:p>
  <w:p w:rsidR="008A3ED1" w:rsidRDefault="008A3ED1" w:rsidP="008A3ED1">
    <w:pPr>
      <w:pStyle w:val="bpuHeadSpon"/>
    </w:pPr>
    <w:r>
      <w:fldChar w:fldCharType="begin"/>
    </w:r>
    <w:r>
      <w:instrText xml:space="preserve"> PAGE  \* MERGEFORMAT </w:instrText>
    </w:r>
    <w:r>
      <w:fldChar w:fldCharType="separate"/>
    </w:r>
    <w:r w:rsidR="00A246F5">
      <w:rPr>
        <w:noProof/>
      </w:rPr>
      <w:t>7</w:t>
    </w:r>
    <w:r>
      <w:fldChar w:fldCharType="end"/>
    </w:r>
  </w:p>
  <w:p w:rsidR="008A3ED1" w:rsidRDefault="008A3ED1" w:rsidP="008A3ED1">
    <w:pPr>
      <w:pStyle w:val="bpuHeadSpon"/>
    </w:pPr>
  </w:p>
  <w:p w:rsidR="008A3ED1" w:rsidRDefault="008A3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E4"/>
    <w:rsid w:val="00006580"/>
    <w:rsid w:val="0000791B"/>
    <w:rsid w:val="00023412"/>
    <w:rsid w:val="000314D2"/>
    <w:rsid w:val="00032C46"/>
    <w:rsid w:val="0003458B"/>
    <w:rsid w:val="000408E2"/>
    <w:rsid w:val="0004229A"/>
    <w:rsid w:val="00042E85"/>
    <w:rsid w:val="00056698"/>
    <w:rsid w:val="000616BF"/>
    <w:rsid w:val="00062B9A"/>
    <w:rsid w:val="000673FE"/>
    <w:rsid w:val="00071473"/>
    <w:rsid w:val="000717ED"/>
    <w:rsid w:val="00075B8D"/>
    <w:rsid w:val="00083AE0"/>
    <w:rsid w:val="00084189"/>
    <w:rsid w:val="00085170"/>
    <w:rsid w:val="00087BBA"/>
    <w:rsid w:val="000951B4"/>
    <w:rsid w:val="00096DB0"/>
    <w:rsid w:val="000B0994"/>
    <w:rsid w:val="000B09E1"/>
    <w:rsid w:val="000B33DA"/>
    <w:rsid w:val="000B3E0D"/>
    <w:rsid w:val="000B4F15"/>
    <w:rsid w:val="000C1121"/>
    <w:rsid w:val="000C3200"/>
    <w:rsid w:val="000C37EB"/>
    <w:rsid w:val="000C389F"/>
    <w:rsid w:val="000D6810"/>
    <w:rsid w:val="000F4712"/>
    <w:rsid w:val="0010180A"/>
    <w:rsid w:val="0010206C"/>
    <w:rsid w:val="001047C5"/>
    <w:rsid w:val="00111E33"/>
    <w:rsid w:val="001171CC"/>
    <w:rsid w:val="00120CD6"/>
    <w:rsid w:val="00121603"/>
    <w:rsid w:val="0012582B"/>
    <w:rsid w:val="00125907"/>
    <w:rsid w:val="001366E7"/>
    <w:rsid w:val="00151ED2"/>
    <w:rsid w:val="00160116"/>
    <w:rsid w:val="001616E1"/>
    <w:rsid w:val="00162BC0"/>
    <w:rsid w:val="00163F8C"/>
    <w:rsid w:val="00165C68"/>
    <w:rsid w:val="00171102"/>
    <w:rsid w:val="0017118C"/>
    <w:rsid w:val="00174B62"/>
    <w:rsid w:val="001754FA"/>
    <w:rsid w:val="00176120"/>
    <w:rsid w:val="00177879"/>
    <w:rsid w:val="00190AF3"/>
    <w:rsid w:val="00191373"/>
    <w:rsid w:val="001955DC"/>
    <w:rsid w:val="001A113B"/>
    <w:rsid w:val="001A142D"/>
    <w:rsid w:val="001A54D9"/>
    <w:rsid w:val="001B115A"/>
    <w:rsid w:val="001B1571"/>
    <w:rsid w:val="001B2154"/>
    <w:rsid w:val="001B2A6C"/>
    <w:rsid w:val="001B767E"/>
    <w:rsid w:val="001C02F2"/>
    <w:rsid w:val="001C185C"/>
    <w:rsid w:val="001D1D54"/>
    <w:rsid w:val="001D3220"/>
    <w:rsid w:val="001E681B"/>
    <w:rsid w:val="001E77B1"/>
    <w:rsid w:val="001E7940"/>
    <w:rsid w:val="001F01EA"/>
    <w:rsid w:val="001F3F07"/>
    <w:rsid w:val="00203705"/>
    <w:rsid w:val="00205965"/>
    <w:rsid w:val="00205CB7"/>
    <w:rsid w:val="00206013"/>
    <w:rsid w:val="00214BAF"/>
    <w:rsid w:val="0022060D"/>
    <w:rsid w:val="00221E30"/>
    <w:rsid w:val="00223574"/>
    <w:rsid w:val="002250D7"/>
    <w:rsid w:val="00241F18"/>
    <w:rsid w:val="0024302A"/>
    <w:rsid w:val="00260E6A"/>
    <w:rsid w:val="002621E1"/>
    <w:rsid w:val="00263972"/>
    <w:rsid w:val="00264428"/>
    <w:rsid w:val="0027401D"/>
    <w:rsid w:val="00274703"/>
    <w:rsid w:val="00276820"/>
    <w:rsid w:val="00276D99"/>
    <w:rsid w:val="00280FE6"/>
    <w:rsid w:val="0028394E"/>
    <w:rsid w:val="002845A6"/>
    <w:rsid w:val="00285739"/>
    <w:rsid w:val="0029038E"/>
    <w:rsid w:val="00291F37"/>
    <w:rsid w:val="00297F84"/>
    <w:rsid w:val="002A050C"/>
    <w:rsid w:val="002A2CCF"/>
    <w:rsid w:val="002A7B41"/>
    <w:rsid w:val="002B0075"/>
    <w:rsid w:val="002C279E"/>
    <w:rsid w:val="002C29E8"/>
    <w:rsid w:val="002C2C2D"/>
    <w:rsid w:val="002C3B9B"/>
    <w:rsid w:val="002C3E1C"/>
    <w:rsid w:val="002E1F6C"/>
    <w:rsid w:val="002F6C51"/>
    <w:rsid w:val="00301C59"/>
    <w:rsid w:val="00301FB4"/>
    <w:rsid w:val="00303BCB"/>
    <w:rsid w:val="00307C63"/>
    <w:rsid w:val="00310103"/>
    <w:rsid w:val="003112C0"/>
    <w:rsid w:val="003151BB"/>
    <w:rsid w:val="00324123"/>
    <w:rsid w:val="00330A2E"/>
    <w:rsid w:val="00332C52"/>
    <w:rsid w:val="00341E54"/>
    <w:rsid w:val="00344BE4"/>
    <w:rsid w:val="003475CE"/>
    <w:rsid w:val="00353AAB"/>
    <w:rsid w:val="00354F58"/>
    <w:rsid w:val="003559CD"/>
    <w:rsid w:val="003562E8"/>
    <w:rsid w:val="003763FC"/>
    <w:rsid w:val="00384329"/>
    <w:rsid w:val="00386CB2"/>
    <w:rsid w:val="00396AFE"/>
    <w:rsid w:val="003A6E5F"/>
    <w:rsid w:val="003A7E43"/>
    <w:rsid w:val="003C2A08"/>
    <w:rsid w:val="003C2EC6"/>
    <w:rsid w:val="003D725B"/>
    <w:rsid w:val="003D7F8C"/>
    <w:rsid w:val="003E4904"/>
    <w:rsid w:val="003E4EBF"/>
    <w:rsid w:val="003E6877"/>
    <w:rsid w:val="003E7E45"/>
    <w:rsid w:val="003F092A"/>
    <w:rsid w:val="003F1759"/>
    <w:rsid w:val="0040146F"/>
    <w:rsid w:val="00403D24"/>
    <w:rsid w:val="0040450A"/>
    <w:rsid w:val="004045F6"/>
    <w:rsid w:val="004058A9"/>
    <w:rsid w:val="00407CD5"/>
    <w:rsid w:val="00410F1D"/>
    <w:rsid w:val="00412714"/>
    <w:rsid w:val="00417390"/>
    <w:rsid w:val="0042704C"/>
    <w:rsid w:val="00431291"/>
    <w:rsid w:val="00433040"/>
    <w:rsid w:val="00433838"/>
    <w:rsid w:val="00435FD8"/>
    <w:rsid w:val="0044757F"/>
    <w:rsid w:val="00452B15"/>
    <w:rsid w:val="0045474C"/>
    <w:rsid w:val="004606A4"/>
    <w:rsid w:val="00460C64"/>
    <w:rsid w:val="00461B32"/>
    <w:rsid w:val="0046437E"/>
    <w:rsid w:val="004720C1"/>
    <w:rsid w:val="00473246"/>
    <w:rsid w:val="00481378"/>
    <w:rsid w:val="004821AA"/>
    <w:rsid w:val="00485935"/>
    <w:rsid w:val="00487F71"/>
    <w:rsid w:val="00491678"/>
    <w:rsid w:val="00496286"/>
    <w:rsid w:val="004A31C1"/>
    <w:rsid w:val="004A5336"/>
    <w:rsid w:val="004B24F0"/>
    <w:rsid w:val="004B3FAA"/>
    <w:rsid w:val="004B6C42"/>
    <w:rsid w:val="004B7390"/>
    <w:rsid w:val="004C1DF0"/>
    <w:rsid w:val="004C7050"/>
    <w:rsid w:val="004D05C9"/>
    <w:rsid w:val="004D4813"/>
    <w:rsid w:val="004E241E"/>
    <w:rsid w:val="004E3E31"/>
    <w:rsid w:val="004F4219"/>
    <w:rsid w:val="005011C3"/>
    <w:rsid w:val="005018D0"/>
    <w:rsid w:val="00504CFB"/>
    <w:rsid w:val="0051560D"/>
    <w:rsid w:val="005168CB"/>
    <w:rsid w:val="00532631"/>
    <w:rsid w:val="00534D1B"/>
    <w:rsid w:val="00547D98"/>
    <w:rsid w:val="0055293D"/>
    <w:rsid w:val="0056218B"/>
    <w:rsid w:val="005621CD"/>
    <w:rsid w:val="00563D0D"/>
    <w:rsid w:val="00564B1F"/>
    <w:rsid w:val="00565390"/>
    <w:rsid w:val="005660DA"/>
    <w:rsid w:val="00567681"/>
    <w:rsid w:val="00572F14"/>
    <w:rsid w:val="00575224"/>
    <w:rsid w:val="00577178"/>
    <w:rsid w:val="00580B81"/>
    <w:rsid w:val="005839BB"/>
    <w:rsid w:val="00583DFF"/>
    <w:rsid w:val="00585DEF"/>
    <w:rsid w:val="0058633F"/>
    <w:rsid w:val="0058678C"/>
    <w:rsid w:val="005908D6"/>
    <w:rsid w:val="00593A9A"/>
    <w:rsid w:val="00593AFB"/>
    <w:rsid w:val="00593BF1"/>
    <w:rsid w:val="00597CB9"/>
    <w:rsid w:val="005A066A"/>
    <w:rsid w:val="005A28E6"/>
    <w:rsid w:val="005A7F2F"/>
    <w:rsid w:val="005B2ACD"/>
    <w:rsid w:val="005B6379"/>
    <w:rsid w:val="005C15B3"/>
    <w:rsid w:val="005D2386"/>
    <w:rsid w:val="005E2ECF"/>
    <w:rsid w:val="005E7D1E"/>
    <w:rsid w:val="005F1DC3"/>
    <w:rsid w:val="005F6A5D"/>
    <w:rsid w:val="00611A4F"/>
    <w:rsid w:val="00625BEC"/>
    <w:rsid w:val="00625CC8"/>
    <w:rsid w:val="006326D3"/>
    <w:rsid w:val="0063322C"/>
    <w:rsid w:val="00633FED"/>
    <w:rsid w:val="00635E2F"/>
    <w:rsid w:val="00640EC0"/>
    <w:rsid w:val="0065003C"/>
    <w:rsid w:val="00651901"/>
    <w:rsid w:val="00651CC8"/>
    <w:rsid w:val="00653FA0"/>
    <w:rsid w:val="00654A40"/>
    <w:rsid w:val="00660233"/>
    <w:rsid w:val="00662C98"/>
    <w:rsid w:val="00667E9B"/>
    <w:rsid w:val="0067193B"/>
    <w:rsid w:val="0067350F"/>
    <w:rsid w:val="006739B6"/>
    <w:rsid w:val="006746F9"/>
    <w:rsid w:val="00674A86"/>
    <w:rsid w:val="00681C25"/>
    <w:rsid w:val="00684D0C"/>
    <w:rsid w:val="00685E01"/>
    <w:rsid w:val="00686BE9"/>
    <w:rsid w:val="00687F79"/>
    <w:rsid w:val="006905E0"/>
    <w:rsid w:val="006905FF"/>
    <w:rsid w:val="006A7D4E"/>
    <w:rsid w:val="006B2994"/>
    <w:rsid w:val="006B731A"/>
    <w:rsid w:val="006C06B7"/>
    <w:rsid w:val="006C22E5"/>
    <w:rsid w:val="006C2ADA"/>
    <w:rsid w:val="006D1532"/>
    <w:rsid w:val="006D1C32"/>
    <w:rsid w:val="006D505A"/>
    <w:rsid w:val="006E56BD"/>
    <w:rsid w:val="006F3D55"/>
    <w:rsid w:val="00702FC4"/>
    <w:rsid w:val="00706469"/>
    <w:rsid w:val="00707AD8"/>
    <w:rsid w:val="00712342"/>
    <w:rsid w:val="00712FF3"/>
    <w:rsid w:val="00715E0D"/>
    <w:rsid w:val="007176BF"/>
    <w:rsid w:val="00720465"/>
    <w:rsid w:val="007228E8"/>
    <w:rsid w:val="007253D7"/>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10D9"/>
    <w:rsid w:val="007B25F4"/>
    <w:rsid w:val="007B5765"/>
    <w:rsid w:val="007B58BF"/>
    <w:rsid w:val="007C0F65"/>
    <w:rsid w:val="007C5BB9"/>
    <w:rsid w:val="007D4F1A"/>
    <w:rsid w:val="007D55BE"/>
    <w:rsid w:val="007D736A"/>
    <w:rsid w:val="007D7467"/>
    <w:rsid w:val="007E1527"/>
    <w:rsid w:val="007E391B"/>
    <w:rsid w:val="007E3A71"/>
    <w:rsid w:val="007E5ECB"/>
    <w:rsid w:val="007E685A"/>
    <w:rsid w:val="007E7B98"/>
    <w:rsid w:val="007F643B"/>
    <w:rsid w:val="008002DA"/>
    <w:rsid w:val="00807E77"/>
    <w:rsid w:val="00813C2E"/>
    <w:rsid w:val="00814801"/>
    <w:rsid w:val="0081539B"/>
    <w:rsid w:val="0081598C"/>
    <w:rsid w:val="00815F02"/>
    <w:rsid w:val="00817E6B"/>
    <w:rsid w:val="00824F1A"/>
    <w:rsid w:val="00830C1B"/>
    <w:rsid w:val="00831907"/>
    <w:rsid w:val="00833144"/>
    <w:rsid w:val="0083326E"/>
    <w:rsid w:val="00835F86"/>
    <w:rsid w:val="00852C35"/>
    <w:rsid w:val="0086137F"/>
    <w:rsid w:val="00866C23"/>
    <w:rsid w:val="008700F7"/>
    <w:rsid w:val="0087103B"/>
    <w:rsid w:val="00873B0B"/>
    <w:rsid w:val="00875110"/>
    <w:rsid w:val="00890F76"/>
    <w:rsid w:val="00892358"/>
    <w:rsid w:val="00892F39"/>
    <w:rsid w:val="008A2673"/>
    <w:rsid w:val="008A3ED1"/>
    <w:rsid w:val="008A5541"/>
    <w:rsid w:val="008B1F62"/>
    <w:rsid w:val="008B3A5D"/>
    <w:rsid w:val="008B4043"/>
    <w:rsid w:val="008B7B8C"/>
    <w:rsid w:val="008C6C0B"/>
    <w:rsid w:val="008C6D3C"/>
    <w:rsid w:val="008D37C8"/>
    <w:rsid w:val="008E4B4D"/>
    <w:rsid w:val="008E60EC"/>
    <w:rsid w:val="008F1224"/>
    <w:rsid w:val="008F27D7"/>
    <w:rsid w:val="008F43F9"/>
    <w:rsid w:val="008F5ED1"/>
    <w:rsid w:val="008F6527"/>
    <w:rsid w:val="008F6930"/>
    <w:rsid w:val="00900693"/>
    <w:rsid w:val="0090378D"/>
    <w:rsid w:val="0090590D"/>
    <w:rsid w:val="0091132C"/>
    <w:rsid w:val="00913663"/>
    <w:rsid w:val="0091403D"/>
    <w:rsid w:val="0091594D"/>
    <w:rsid w:val="009203BF"/>
    <w:rsid w:val="00924C13"/>
    <w:rsid w:val="00924E1B"/>
    <w:rsid w:val="00924F5D"/>
    <w:rsid w:val="00925842"/>
    <w:rsid w:val="00927765"/>
    <w:rsid w:val="00932DF2"/>
    <w:rsid w:val="00932EFA"/>
    <w:rsid w:val="00934D0B"/>
    <w:rsid w:val="00936E1D"/>
    <w:rsid w:val="00941DC8"/>
    <w:rsid w:val="00947406"/>
    <w:rsid w:val="00967195"/>
    <w:rsid w:val="00977A01"/>
    <w:rsid w:val="009825E5"/>
    <w:rsid w:val="00983972"/>
    <w:rsid w:val="00987E27"/>
    <w:rsid w:val="009922B4"/>
    <w:rsid w:val="00992BA2"/>
    <w:rsid w:val="009961A8"/>
    <w:rsid w:val="009A0483"/>
    <w:rsid w:val="009A56BA"/>
    <w:rsid w:val="009A5CC9"/>
    <w:rsid w:val="009B14EC"/>
    <w:rsid w:val="009B412A"/>
    <w:rsid w:val="009B6484"/>
    <w:rsid w:val="009C7B57"/>
    <w:rsid w:val="009D05E9"/>
    <w:rsid w:val="009D2B21"/>
    <w:rsid w:val="009E1A12"/>
    <w:rsid w:val="009E2EF5"/>
    <w:rsid w:val="009E489A"/>
    <w:rsid w:val="009E69F6"/>
    <w:rsid w:val="009E6C52"/>
    <w:rsid w:val="009F39E4"/>
    <w:rsid w:val="009F5D6A"/>
    <w:rsid w:val="00A00833"/>
    <w:rsid w:val="00A03CE4"/>
    <w:rsid w:val="00A0500F"/>
    <w:rsid w:val="00A05F8E"/>
    <w:rsid w:val="00A11CB1"/>
    <w:rsid w:val="00A11CB5"/>
    <w:rsid w:val="00A14115"/>
    <w:rsid w:val="00A179CE"/>
    <w:rsid w:val="00A216BD"/>
    <w:rsid w:val="00A24283"/>
    <w:rsid w:val="00A246F5"/>
    <w:rsid w:val="00A247B8"/>
    <w:rsid w:val="00A263AC"/>
    <w:rsid w:val="00A31168"/>
    <w:rsid w:val="00A313C0"/>
    <w:rsid w:val="00A32009"/>
    <w:rsid w:val="00A34D48"/>
    <w:rsid w:val="00A375BA"/>
    <w:rsid w:val="00A379C2"/>
    <w:rsid w:val="00A37E6F"/>
    <w:rsid w:val="00A40421"/>
    <w:rsid w:val="00A45822"/>
    <w:rsid w:val="00A47997"/>
    <w:rsid w:val="00A532B8"/>
    <w:rsid w:val="00A541A8"/>
    <w:rsid w:val="00A54639"/>
    <w:rsid w:val="00A56A27"/>
    <w:rsid w:val="00A64456"/>
    <w:rsid w:val="00A70190"/>
    <w:rsid w:val="00A72262"/>
    <w:rsid w:val="00A852A2"/>
    <w:rsid w:val="00A92F39"/>
    <w:rsid w:val="00A95304"/>
    <w:rsid w:val="00A976BE"/>
    <w:rsid w:val="00AA5E04"/>
    <w:rsid w:val="00AB08F7"/>
    <w:rsid w:val="00AB12AF"/>
    <w:rsid w:val="00AC17EB"/>
    <w:rsid w:val="00AC2F01"/>
    <w:rsid w:val="00AC3BD3"/>
    <w:rsid w:val="00AC6F15"/>
    <w:rsid w:val="00AD5FA9"/>
    <w:rsid w:val="00AD6E10"/>
    <w:rsid w:val="00AE1EE5"/>
    <w:rsid w:val="00AE45E8"/>
    <w:rsid w:val="00AE52B3"/>
    <w:rsid w:val="00AF0808"/>
    <w:rsid w:val="00AF2240"/>
    <w:rsid w:val="00AF5C79"/>
    <w:rsid w:val="00AF70F7"/>
    <w:rsid w:val="00AF7B5E"/>
    <w:rsid w:val="00B01D7A"/>
    <w:rsid w:val="00B020FF"/>
    <w:rsid w:val="00B0271F"/>
    <w:rsid w:val="00B0295C"/>
    <w:rsid w:val="00B045DE"/>
    <w:rsid w:val="00B04C3E"/>
    <w:rsid w:val="00B1031F"/>
    <w:rsid w:val="00B1301A"/>
    <w:rsid w:val="00B15D0A"/>
    <w:rsid w:val="00B1675A"/>
    <w:rsid w:val="00B30C67"/>
    <w:rsid w:val="00B411B5"/>
    <w:rsid w:val="00B43056"/>
    <w:rsid w:val="00B43E12"/>
    <w:rsid w:val="00B45111"/>
    <w:rsid w:val="00B52E90"/>
    <w:rsid w:val="00B567B5"/>
    <w:rsid w:val="00B63919"/>
    <w:rsid w:val="00B66FFE"/>
    <w:rsid w:val="00B8189D"/>
    <w:rsid w:val="00B92A1C"/>
    <w:rsid w:val="00B94A50"/>
    <w:rsid w:val="00B96F5E"/>
    <w:rsid w:val="00BA097B"/>
    <w:rsid w:val="00BA51E3"/>
    <w:rsid w:val="00BB05EF"/>
    <w:rsid w:val="00BB08C1"/>
    <w:rsid w:val="00BC0679"/>
    <w:rsid w:val="00BC3609"/>
    <w:rsid w:val="00BC54C0"/>
    <w:rsid w:val="00BD5EDE"/>
    <w:rsid w:val="00BE22D0"/>
    <w:rsid w:val="00BE5A48"/>
    <w:rsid w:val="00BE6CBD"/>
    <w:rsid w:val="00BF0ED0"/>
    <w:rsid w:val="00BF10CF"/>
    <w:rsid w:val="00BF2DFA"/>
    <w:rsid w:val="00BF7A44"/>
    <w:rsid w:val="00BF7FC8"/>
    <w:rsid w:val="00C00D30"/>
    <w:rsid w:val="00C02E49"/>
    <w:rsid w:val="00C1432A"/>
    <w:rsid w:val="00C2057B"/>
    <w:rsid w:val="00C20A6D"/>
    <w:rsid w:val="00C22FA2"/>
    <w:rsid w:val="00C23588"/>
    <w:rsid w:val="00C23F61"/>
    <w:rsid w:val="00C319BD"/>
    <w:rsid w:val="00C347FF"/>
    <w:rsid w:val="00C36A4F"/>
    <w:rsid w:val="00C36D0B"/>
    <w:rsid w:val="00C421C1"/>
    <w:rsid w:val="00C43CDD"/>
    <w:rsid w:val="00C53071"/>
    <w:rsid w:val="00C53F0B"/>
    <w:rsid w:val="00C5726A"/>
    <w:rsid w:val="00C6019A"/>
    <w:rsid w:val="00C61F36"/>
    <w:rsid w:val="00C64025"/>
    <w:rsid w:val="00C76538"/>
    <w:rsid w:val="00C77EC5"/>
    <w:rsid w:val="00C827B6"/>
    <w:rsid w:val="00C82CA3"/>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23BB"/>
    <w:rsid w:val="00D044F5"/>
    <w:rsid w:val="00D10BF3"/>
    <w:rsid w:val="00D17CB7"/>
    <w:rsid w:val="00D235DB"/>
    <w:rsid w:val="00D237DC"/>
    <w:rsid w:val="00D271B3"/>
    <w:rsid w:val="00D35C42"/>
    <w:rsid w:val="00D41204"/>
    <w:rsid w:val="00D45CC6"/>
    <w:rsid w:val="00D470AF"/>
    <w:rsid w:val="00D514B2"/>
    <w:rsid w:val="00D518DB"/>
    <w:rsid w:val="00D52647"/>
    <w:rsid w:val="00D52888"/>
    <w:rsid w:val="00D56458"/>
    <w:rsid w:val="00D57873"/>
    <w:rsid w:val="00D608A1"/>
    <w:rsid w:val="00D66A4B"/>
    <w:rsid w:val="00D67096"/>
    <w:rsid w:val="00D70F1C"/>
    <w:rsid w:val="00D72858"/>
    <w:rsid w:val="00D74C46"/>
    <w:rsid w:val="00D84E45"/>
    <w:rsid w:val="00D93249"/>
    <w:rsid w:val="00D94352"/>
    <w:rsid w:val="00D9793F"/>
    <w:rsid w:val="00DA542B"/>
    <w:rsid w:val="00DA632E"/>
    <w:rsid w:val="00DB16BD"/>
    <w:rsid w:val="00DB1CF1"/>
    <w:rsid w:val="00DB2421"/>
    <w:rsid w:val="00DB267C"/>
    <w:rsid w:val="00DB2880"/>
    <w:rsid w:val="00DC014E"/>
    <w:rsid w:val="00DC0972"/>
    <w:rsid w:val="00DC2F7E"/>
    <w:rsid w:val="00DC5E6D"/>
    <w:rsid w:val="00DC6B96"/>
    <w:rsid w:val="00DD223E"/>
    <w:rsid w:val="00DD3A3F"/>
    <w:rsid w:val="00DF1689"/>
    <w:rsid w:val="00DF1E16"/>
    <w:rsid w:val="00E02BE4"/>
    <w:rsid w:val="00E0398C"/>
    <w:rsid w:val="00E04ECE"/>
    <w:rsid w:val="00E061F9"/>
    <w:rsid w:val="00E0620A"/>
    <w:rsid w:val="00E075A5"/>
    <w:rsid w:val="00E171D1"/>
    <w:rsid w:val="00E241B0"/>
    <w:rsid w:val="00E25E34"/>
    <w:rsid w:val="00E31BC0"/>
    <w:rsid w:val="00E43965"/>
    <w:rsid w:val="00E46B5E"/>
    <w:rsid w:val="00E50795"/>
    <w:rsid w:val="00E53F0C"/>
    <w:rsid w:val="00E57D97"/>
    <w:rsid w:val="00E57EEC"/>
    <w:rsid w:val="00E63A34"/>
    <w:rsid w:val="00E707FA"/>
    <w:rsid w:val="00E70C25"/>
    <w:rsid w:val="00E72FA6"/>
    <w:rsid w:val="00E77E4A"/>
    <w:rsid w:val="00E85E9A"/>
    <w:rsid w:val="00E94450"/>
    <w:rsid w:val="00EA06DE"/>
    <w:rsid w:val="00EA1876"/>
    <w:rsid w:val="00EA424B"/>
    <w:rsid w:val="00EA78CF"/>
    <w:rsid w:val="00EB7763"/>
    <w:rsid w:val="00EC2275"/>
    <w:rsid w:val="00EC4F39"/>
    <w:rsid w:val="00ED0AF3"/>
    <w:rsid w:val="00ED1C6D"/>
    <w:rsid w:val="00ED51EA"/>
    <w:rsid w:val="00EE0EC4"/>
    <w:rsid w:val="00EE10DE"/>
    <w:rsid w:val="00EE1829"/>
    <w:rsid w:val="00EE73AB"/>
    <w:rsid w:val="00EF2418"/>
    <w:rsid w:val="00EF764E"/>
    <w:rsid w:val="00F00E73"/>
    <w:rsid w:val="00F13B2A"/>
    <w:rsid w:val="00F20D31"/>
    <w:rsid w:val="00F2189E"/>
    <w:rsid w:val="00F22271"/>
    <w:rsid w:val="00F22701"/>
    <w:rsid w:val="00F23CB0"/>
    <w:rsid w:val="00F25F86"/>
    <w:rsid w:val="00F469B9"/>
    <w:rsid w:val="00F548B8"/>
    <w:rsid w:val="00F7718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1C57"/>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7F755E2"/>
  <w15:docId w15:val="{126DA9CB-A9DA-4E1B-A3D9-64EB7654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Hyperlink">
    <w:name w:val="Hyperlink"/>
    <w:basedOn w:val="DefaultParagraphFont"/>
    <w:uiPriority w:val="99"/>
    <w:semiHidden/>
    <w:unhideWhenUsed/>
    <w:rsid w:val="0000791B"/>
    <w:rPr>
      <w:color w:val="0000FF"/>
      <w:u w:val="single"/>
    </w:rPr>
  </w:style>
  <w:style w:type="character" w:styleId="LineNumber">
    <w:name w:val="line number"/>
    <w:basedOn w:val="DefaultParagraphFont"/>
    <w:semiHidden/>
    <w:unhideWhenUsed/>
    <w:rsid w:val="00A313C0"/>
  </w:style>
  <w:style w:type="paragraph" w:styleId="BalloonText">
    <w:name w:val="Balloon Text"/>
    <w:basedOn w:val="Normal"/>
    <w:link w:val="BalloonTextChar"/>
    <w:semiHidden/>
    <w:unhideWhenUsed/>
    <w:rsid w:val="00E25E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E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40434">
      <w:bodyDiv w:val="1"/>
      <w:marLeft w:val="0"/>
      <w:marRight w:val="0"/>
      <w:marTop w:val="0"/>
      <w:marBottom w:val="0"/>
      <w:divBdr>
        <w:top w:val="none" w:sz="0" w:space="0" w:color="auto"/>
        <w:left w:val="none" w:sz="0" w:space="0" w:color="auto"/>
        <w:bottom w:val="none" w:sz="0" w:space="0" w:color="auto"/>
        <w:right w:val="none" w:sz="0" w:space="0" w:color="auto"/>
      </w:divBdr>
    </w:div>
    <w:div w:id="165270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2584</Words>
  <Characters>14442</Characters>
  <Application>Microsoft Office Word</Application>
  <DocSecurity>0</DocSecurity>
  <Lines>300</Lines>
  <Paragraphs>40</Paragraphs>
  <ScaleCrop>false</ScaleCrop>
  <HeadingPairs>
    <vt:vector size="2" baseType="variant">
      <vt:variant>
        <vt:lpstr>Title</vt:lpstr>
      </vt:variant>
      <vt:variant>
        <vt:i4>1</vt:i4>
      </vt:variant>
    </vt:vector>
  </HeadingPairs>
  <TitlesOfParts>
    <vt:vector size="1" baseType="lpstr">
      <vt:lpstr>P.L. 2020, c.092 (2R SCS SCS)</vt:lpstr>
    </vt:vector>
  </TitlesOfParts>
  <Manager>Carol Yuhas</Manager>
  <Company>Office of Legislative Services</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c.092 (S232 2R SCS SCS)</dc:title>
  <dc:creator>Senate Committee Substitute (Second Reprint) for Senate Committee Substitute for Senate No. 232</dc:creator>
  <cp:keywords>S232|7| ||0|0|!|0|</cp:keywords>
  <dc:description>Adopted 6/25/20_x000d_
Amended 7/20/20_x000d_
Amended 8/24/20</dc:description>
  <cp:lastModifiedBy>Todaro, Vivian</cp:lastModifiedBy>
  <cp:revision>2</cp:revision>
  <cp:lastPrinted>2020-10-08T13:42:00Z</cp:lastPrinted>
  <dcterms:created xsi:type="dcterms:W3CDTF">2020-10-21T17:35:00Z</dcterms:created>
  <dcterms:modified xsi:type="dcterms:W3CDTF">2020-10-21T17:35:00Z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c.92</vt:lpwstr>
  </property>
</Properties>
</file>