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BB362" w14:textId="77777777" w:rsidR="00FB2AB5" w:rsidRDefault="00FB2AB5" w:rsidP="00332876">
      <w:pPr>
        <w:pStyle w:val="HangingAnAct"/>
        <w:suppressLineNumbers/>
        <w:rPr>
          <w:rStyle w:val="BillHead"/>
        </w:rPr>
        <w:sectPr w:rsidR="00FB2AB5" w:rsidSect="00C22C36">
          <w:headerReference w:type="default" r:id="rId7"/>
          <w:footerReference w:type="first" r:id="rId8"/>
          <w:pgSz w:w="12240" w:h="20160" w:code="5"/>
          <w:pgMar w:top="1440" w:right="2520" w:bottom="1872" w:left="2880" w:header="1181" w:footer="1038" w:gutter="0"/>
          <w:lnNumType w:countBy="1"/>
          <w:cols w:space="720"/>
          <w:titlePg/>
          <w:docGrid w:linePitch="360"/>
        </w:sectPr>
      </w:pPr>
      <w:bookmarkStart w:id="0" w:name="_GoBack"/>
      <w:bookmarkEnd w:id="0"/>
    </w:p>
    <w:p w14:paraId="6CA1D37E" w14:textId="77777777" w:rsidR="00FB2AB5" w:rsidRDefault="00FB2AB5" w:rsidP="00FB2AB5">
      <w:pPr>
        <w:ind w:left="6048"/>
      </w:pPr>
      <w:r>
        <w:t>§§1,2,4</w:t>
      </w:r>
    </w:p>
    <w:p w14:paraId="71DDFB28" w14:textId="77777777" w:rsidR="00FB2AB5" w:rsidRDefault="00FB2AB5" w:rsidP="00FB2AB5">
      <w:pPr>
        <w:ind w:left="6048"/>
      </w:pPr>
      <w:r>
        <w:t>C.30:1-1.2a to</w:t>
      </w:r>
    </w:p>
    <w:p w14:paraId="688C0072" w14:textId="091B2819" w:rsidR="00FB2AB5" w:rsidRDefault="00FB2AB5" w:rsidP="00FB2AB5">
      <w:pPr>
        <w:ind w:left="6048"/>
      </w:pPr>
      <w:r>
        <w:t>30:1-1.2c</w:t>
      </w:r>
    </w:p>
    <w:p w14:paraId="5DA09CA2" w14:textId="77777777" w:rsidR="00FB2AB5" w:rsidRDefault="00FB2AB5" w:rsidP="00FB2AB5">
      <w:pPr>
        <w:ind w:left="6048"/>
      </w:pPr>
      <w:r>
        <w:t>§3 T&amp;E and Note</w:t>
      </w:r>
    </w:p>
    <w:p w14:paraId="76CC9B66" w14:textId="297672D2" w:rsidR="00FB2AB5" w:rsidRDefault="00FB2AB5" w:rsidP="00FB2AB5">
      <w:pPr>
        <w:ind w:left="6048"/>
      </w:pPr>
      <w:r>
        <w:t>§5 Note</w:t>
      </w:r>
    </w:p>
    <w:p w14:paraId="24FD9380" w14:textId="1877C5B0" w:rsidR="00FB2AB5" w:rsidRDefault="00FB2AB5" w:rsidP="00FB2AB5">
      <w:pPr>
        <w:ind w:left="6048"/>
      </w:pPr>
    </w:p>
    <w:p w14:paraId="45E7A83C" w14:textId="18F5D3C9" w:rsidR="00FB2AB5" w:rsidRDefault="00FB2AB5" w:rsidP="00FB2AB5">
      <w:pPr>
        <w:ind w:left="6048"/>
      </w:pPr>
    </w:p>
    <w:p w14:paraId="4C2FCBFE" w14:textId="77777777" w:rsidR="00FB2AB5" w:rsidRDefault="00FB2AB5" w:rsidP="00FB2AB5">
      <w:pPr>
        <w:sectPr w:rsidR="00FB2AB5" w:rsidSect="00FB2AB5">
          <w:type w:val="continuous"/>
          <w:pgSz w:w="12240" w:h="20160" w:code="5"/>
          <w:pgMar w:top="1440" w:right="1440" w:bottom="1872" w:left="2880" w:header="72" w:footer="720" w:gutter="0"/>
          <w:cols w:space="720"/>
          <w:titlePg/>
          <w:docGrid w:linePitch="360"/>
        </w:sectPr>
      </w:pPr>
    </w:p>
    <w:p w14:paraId="29CA74C7" w14:textId="26E456FD" w:rsidR="00FB2AB5" w:rsidRDefault="00FB2AB5" w:rsidP="00FB2AB5">
      <w:pPr>
        <w:jc w:val="center"/>
      </w:pPr>
      <w:bookmarkStart w:id="1" w:name="LCPL"/>
      <w:bookmarkEnd w:id="1"/>
      <w:r>
        <w:t>P.L. 2021, CHAPTER 1,</w:t>
      </w:r>
      <w:r>
        <w:rPr>
          <w:b/>
          <w:i/>
        </w:rPr>
        <w:t xml:space="preserve"> approved January 15, 2021</w:t>
      </w:r>
    </w:p>
    <w:p w14:paraId="20E9FE88" w14:textId="27B2D793" w:rsidR="00FB2AB5" w:rsidRDefault="002E0607" w:rsidP="00FB2AB5">
      <w:pPr>
        <w:jc w:val="center"/>
      </w:pPr>
      <w:r>
        <w:t>Senate</w:t>
      </w:r>
      <w:r w:rsidR="00C47864">
        <w:t>,</w:t>
      </w:r>
      <w:r w:rsidR="00FB2AB5">
        <w:t xml:space="preserve"> No. 2708 </w:t>
      </w:r>
      <w:r w:rsidR="00FB2AB5" w:rsidRPr="00F642A6">
        <w:rPr>
          <w:rStyle w:val="BoldItal"/>
        </w:rPr>
        <w:t>(First Reprint)</w:t>
      </w:r>
    </w:p>
    <w:p w14:paraId="6B4CE503" w14:textId="795CD86B" w:rsidR="00FB2AB5" w:rsidRDefault="00FB2AB5" w:rsidP="00FB2AB5">
      <w:pPr>
        <w:jc w:val="center"/>
      </w:pPr>
    </w:p>
    <w:p w14:paraId="79E77096" w14:textId="77777777" w:rsidR="00FB2AB5" w:rsidRPr="00FB2AB5" w:rsidRDefault="00FB2AB5" w:rsidP="00FB2AB5">
      <w:pPr>
        <w:jc w:val="center"/>
      </w:pPr>
    </w:p>
    <w:p w14:paraId="68420A06" w14:textId="77777777" w:rsidR="00FB2AB5" w:rsidRPr="00FB2AB5" w:rsidRDefault="00FB2AB5" w:rsidP="00FB2AB5">
      <w:pPr>
        <w:sectPr w:rsidR="00FB2AB5" w:rsidRPr="00FB2AB5" w:rsidSect="00FB2AB5">
          <w:type w:val="continuous"/>
          <w:pgSz w:w="12240" w:h="20160" w:code="5"/>
          <w:pgMar w:top="2880" w:right="1440" w:bottom="1872" w:left="1440" w:header="72" w:footer="720" w:gutter="0"/>
          <w:cols w:space="720"/>
          <w:docGrid w:linePitch="360"/>
        </w:sectPr>
      </w:pPr>
    </w:p>
    <w:p w14:paraId="53730C5C" w14:textId="294DB3F5" w:rsidR="008D41C2" w:rsidRPr="008D41C2" w:rsidRDefault="00C8577A" w:rsidP="008D41C2">
      <w:pPr>
        <w:pStyle w:val="HangingAnAct"/>
      </w:pPr>
      <w:r>
        <w:rPr>
          <w:rStyle w:val="BillHead"/>
        </w:rPr>
        <w:t>An Act</w:t>
      </w:r>
      <w:r w:rsidR="00686AEB" w:rsidRPr="006B7FA7">
        <w:rPr>
          <w:rStyle w:val="HangingAnActChar"/>
        </w:rPr>
        <w:t xml:space="preserve"> </w:t>
      </w:r>
      <w:r w:rsidR="008D41C2" w:rsidRPr="008D41C2">
        <w:t>concerning</w:t>
      </w:r>
      <w:r w:rsidR="003B4D57">
        <w:t xml:space="preserve"> State </w:t>
      </w:r>
      <w:r w:rsidR="008D41C2" w:rsidRPr="008D41C2">
        <w:t>contract</w:t>
      </w:r>
      <w:r w:rsidR="003B4D57">
        <w:t>s</w:t>
      </w:r>
      <w:r w:rsidR="008D41C2" w:rsidRPr="008D41C2">
        <w:t xml:space="preserve"> for social services and supplementing Title 30 of the Revised Statutes.</w:t>
      </w:r>
    </w:p>
    <w:p w14:paraId="3FB7EE3D" w14:textId="77777777" w:rsidR="000B1054" w:rsidRPr="00D71D68" w:rsidRDefault="000B1054" w:rsidP="000B1054"/>
    <w:p w14:paraId="0E3B6BB0" w14:textId="77777777" w:rsidR="00686AEB" w:rsidRPr="00AA7880" w:rsidRDefault="00686AEB" w:rsidP="00686AEB">
      <w:r>
        <w:tab/>
      </w:r>
      <w:r w:rsidR="00C8577A">
        <w:rPr>
          <w:rStyle w:val="BillHeading2"/>
        </w:rPr>
        <w:t>Be It Enacted</w:t>
      </w:r>
      <w:r>
        <w:rPr>
          <w:rStyle w:val="BillHeading2"/>
        </w:rPr>
        <w:t xml:space="preserve"> </w:t>
      </w:r>
      <w:r w:rsidR="00C8577A">
        <w:rPr>
          <w:rStyle w:val="BillLanguage"/>
        </w:rPr>
        <w:t>by the Senate and General Assembly of the State of New Jersey:</w:t>
      </w:r>
    </w:p>
    <w:p w14:paraId="189EEF7E" w14:textId="77777777" w:rsidR="00686AEB" w:rsidRDefault="00686AEB" w:rsidP="00686AEB"/>
    <w:p w14:paraId="5DD24707" w14:textId="77777777" w:rsidR="009404D2" w:rsidRPr="00FF130D" w:rsidRDefault="009404D2" w:rsidP="009404D2">
      <w:r>
        <w:tab/>
      </w:r>
      <w:r w:rsidRPr="00FF130D">
        <w:t>1.</w:t>
      </w:r>
      <w:r w:rsidRPr="00FF130D">
        <w:tab/>
        <w:t xml:space="preserve">The Legislature hereby finds and declares that: </w:t>
      </w:r>
    </w:p>
    <w:p w14:paraId="66FBACF6" w14:textId="77777777" w:rsidR="009404D2" w:rsidRPr="00FF130D" w:rsidRDefault="009404D2" w:rsidP="009404D2">
      <w:r w:rsidRPr="00FF130D">
        <w:tab/>
        <w:t>a.</w:t>
      </w:r>
      <w:r w:rsidRPr="00FF130D">
        <w:tab/>
        <w:t>Publicly financed mental health, behavioral health, and addiction services are critical to the health, safety, and well-being of the people of New Jersey, and comprise an integral and essential component of the State’s health and safety network in which the taxpayers invest significant resources and public funds.</w:t>
      </w:r>
    </w:p>
    <w:p w14:paraId="602735E7" w14:textId="77777777" w:rsidR="009404D2" w:rsidRPr="00FF130D" w:rsidRDefault="009404D2" w:rsidP="009404D2">
      <w:r w:rsidRPr="00FF130D">
        <w:tab/>
        <w:t>b.</w:t>
      </w:r>
      <w:r w:rsidRPr="00FF130D">
        <w:tab/>
        <w:t xml:space="preserve">The COVID-19 pandemic and the economic devastation resulting from its outbreak has, and will continue to cause, increased demand for the public provision of these services.  Periods of economic shock, insecurity, social isolation, and pandemics increase demand for and reliance on these </w:t>
      </w:r>
      <w:r w:rsidRPr="00FF130D">
        <w:rPr>
          <w:rFonts w:ascii="Albertus Extra Bold" w:hAnsi="Albertus Extra Bold"/>
          <w:b/>
          <w:bCs/>
          <w:vertAlign w:val="superscript"/>
        </w:rPr>
        <w:t>1</w:t>
      </w:r>
      <w:r w:rsidRPr="00FF130D">
        <w:rPr>
          <w:rFonts w:ascii="Albertus Extra Bold" w:hAnsi="Albertus Extra Bold"/>
          <w:b/>
          <w:bCs/>
        </w:rPr>
        <w:t>[</w:t>
      </w:r>
      <w:r w:rsidRPr="00FF130D">
        <w:t>State-funded</w:t>
      </w:r>
      <w:r w:rsidRPr="00FF130D">
        <w:rPr>
          <w:rFonts w:ascii="Albertus Extra Bold" w:hAnsi="Albertus Extra Bold"/>
          <w:b/>
          <w:bCs/>
        </w:rPr>
        <w:t>]</w:t>
      </w:r>
      <w:r w:rsidRPr="00FF130D">
        <w:rPr>
          <w:rFonts w:ascii="Albertus Extra Bold" w:hAnsi="Albertus Extra Bold"/>
          <w:b/>
          <w:bCs/>
          <w:vertAlign w:val="superscript"/>
        </w:rPr>
        <w:t>1</w:t>
      </w:r>
      <w:r>
        <w:t xml:space="preserve"> </w:t>
      </w:r>
      <w:r w:rsidRPr="00FF130D">
        <w:t>essential services</w:t>
      </w:r>
      <w:r>
        <w:t xml:space="preserve"> </w:t>
      </w:r>
      <w:r w:rsidRPr="00FF130D">
        <w:rPr>
          <w:rFonts w:ascii="Albertus Extra Bold" w:hAnsi="Albertus Extra Bold"/>
          <w:b/>
          <w:bCs/>
          <w:vertAlign w:val="superscript"/>
        </w:rPr>
        <w:t>1</w:t>
      </w:r>
      <w:r>
        <w:rPr>
          <w:u w:val="single"/>
        </w:rPr>
        <w:t>funded or administered by the State</w:t>
      </w:r>
      <w:r w:rsidRPr="00FF130D">
        <w:rPr>
          <w:rFonts w:ascii="Albertus Extra Bold" w:hAnsi="Albertus Extra Bold"/>
          <w:b/>
          <w:bCs/>
          <w:vertAlign w:val="superscript"/>
        </w:rPr>
        <w:t>1</w:t>
      </w:r>
      <w:r w:rsidRPr="00E100B7">
        <w:t xml:space="preserve"> </w:t>
      </w:r>
      <w:r w:rsidRPr="00FF130D">
        <w:t>.</w:t>
      </w:r>
    </w:p>
    <w:p w14:paraId="5B4BC545" w14:textId="77777777" w:rsidR="009404D2" w:rsidRPr="00FF130D" w:rsidRDefault="009404D2" w:rsidP="009404D2">
      <w:r w:rsidRPr="00FF130D">
        <w:tab/>
        <w:t>c.</w:t>
      </w:r>
      <w:r w:rsidRPr="00FF130D">
        <w:tab/>
        <w:t>The Legislature intends to ensure the</w:t>
      </w:r>
      <w:r>
        <w:t xml:space="preserve"> </w:t>
      </w:r>
      <w:r w:rsidRPr="00FF130D">
        <w:t>uninterrupted delivery of essential mental health, behavioral health, and addiction services to its most vulnerable citizens and to ensure such services are delivered efficiently.  The State has a proprietary interest in ensuring efficiency and quality in the delivery of these services through licensed community-based organizations and providers, with which the State contracts through the Department of Human Services and the Department of Children and Families.  The State's proprietary interest in these services includes ensuring their uninterrupted delivery by contracted providers licensed by the State.</w:t>
      </w:r>
    </w:p>
    <w:p w14:paraId="04DBC68E" w14:textId="77777777" w:rsidR="009404D2" w:rsidRPr="00FF130D" w:rsidRDefault="009404D2" w:rsidP="009404D2">
      <w:r w:rsidRPr="00FF130D">
        <w:tab/>
        <w:t>d.</w:t>
      </w:r>
      <w:r w:rsidRPr="00FF130D">
        <w:tab/>
        <w:t xml:space="preserve">The COVID-19 pandemic forces recognition of the significant health and safety risks undertaken by the individuals who provide these essential health services to the public on behalf of the State.  The State has a responsibility to ensure the </w:t>
      </w:r>
      <w:r w:rsidRPr="00FF65C3">
        <w:rPr>
          <w:rFonts w:ascii="Albertus Extra Bold" w:hAnsi="Albertus Extra Bold"/>
          <w:b/>
          <w:bCs/>
          <w:vertAlign w:val="superscript"/>
        </w:rPr>
        <w:t>1</w:t>
      </w:r>
      <w:r w:rsidRPr="00FF65C3">
        <w:rPr>
          <w:rFonts w:ascii="Albertus Extra Bold" w:hAnsi="Albertus Extra Bold"/>
          <w:b/>
          <w:bCs/>
        </w:rPr>
        <w:t>[</w:t>
      </w:r>
      <w:r w:rsidRPr="00FF130D">
        <w:t>workers delivering the services are provided adequate equipment, resources, and protections to ensure their safety,</w:t>
      </w:r>
      <w:r w:rsidRPr="00FF65C3">
        <w:rPr>
          <w:rFonts w:ascii="Albertus Extra Bold" w:hAnsi="Albertus Extra Bold"/>
          <w:b/>
          <w:bCs/>
        </w:rPr>
        <w:t>]</w:t>
      </w:r>
      <w:r w:rsidRPr="00FF130D">
        <w:t xml:space="preserve"> </w:t>
      </w:r>
      <w:r>
        <w:rPr>
          <w:u w:val="single"/>
        </w:rPr>
        <w:t xml:space="preserve">resources it provides to </w:t>
      </w:r>
      <w:r>
        <w:rPr>
          <w:u w:val="single"/>
        </w:rPr>
        <w:lastRenderedPageBreak/>
        <w:t>community-based organizations and providers with which it contracts support</w:t>
      </w:r>
      <w:r w:rsidRPr="00FF65C3">
        <w:rPr>
          <w:rFonts w:ascii="Albertus Extra Bold" w:hAnsi="Albertus Extra Bold"/>
          <w:b/>
          <w:bCs/>
          <w:vertAlign w:val="superscript"/>
        </w:rPr>
        <w:t>1</w:t>
      </w:r>
      <w:r>
        <w:t xml:space="preserve"> </w:t>
      </w:r>
      <w:r w:rsidRPr="00FF130D">
        <w:t>the safety of the</w:t>
      </w:r>
      <w:r>
        <w:t xml:space="preserve"> </w:t>
      </w:r>
      <w:r w:rsidRPr="00FF65C3">
        <w:rPr>
          <w:rFonts w:ascii="Albertus Extra Bold" w:hAnsi="Albertus Extra Bold"/>
          <w:b/>
          <w:bCs/>
          <w:vertAlign w:val="superscript"/>
        </w:rPr>
        <w:t>1</w:t>
      </w:r>
      <w:r>
        <w:rPr>
          <w:u w:val="single"/>
        </w:rPr>
        <w:t>employees and</w:t>
      </w:r>
      <w:r w:rsidRPr="00FF65C3">
        <w:rPr>
          <w:rFonts w:ascii="Albertus Extra Bold" w:hAnsi="Albertus Extra Bold"/>
          <w:b/>
          <w:bCs/>
          <w:vertAlign w:val="superscript"/>
        </w:rPr>
        <w:t>1</w:t>
      </w:r>
      <w:r w:rsidRPr="00FF130D">
        <w:t xml:space="preserve"> recipients of these services</w:t>
      </w:r>
      <w:r>
        <w:t xml:space="preserve"> </w:t>
      </w:r>
      <w:r w:rsidRPr="00FF65C3">
        <w:rPr>
          <w:rFonts w:ascii="Albertus Extra Bold" w:hAnsi="Albertus Extra Bold"/>
          <w:b/>
          <w:bCs/>
          <w:vertAlign w:val="superscript"/>
        </w:rPr>
        <w:t>1</w:t>
      </w:r>
      <w:r w:rsidRPr="00FF65C3">
        <w:rPr>
          <w:rFonts w:ascii="Albertus Extra Bold" w:hAnsi="Albertus Extra Bold"/>
          <w:b/>
          <w:bCs/>
        </w:rPr>
        <w:t>[</w:t>
      </w:r>
      <w:r w:rsidRPr="00FF130D">
        <w:t>,</w:t>
      </w:r>
      <w:r w:rsidRPr="00685E2F">
        <w:rPr>
          <w:rFonts w:ascii="Albertus Extra Bold" w:hAnsi="Albertus Extra Bold"/>
          <w:b/>
          <w:bCs/>
        </w:rPr>
        <w:t>]</w:t>
      </w:r>
      <w:r w:rsidRPr="00685E2F">
        <w:t xml:space="preserve"> </w:t>
      </w:r>
      <w:r w:rsidRPr="00685E2F">
        <w:rPr>
          <w:u w:val="single"/>
        </w:rPr>
        <w:t>.</w:t>
      </w:r>
      <w:r w:rsidRPr="00685E2F">
        <w:rPr>
          <w:rFonts w:ascii="Albertus Extra Bold" w:hAnsi="Albertus Extra Bold"/>
          <w:b/>
          <w:bCs/>
          <w:vertAlign w:val="superscript"/>
        </w:rPr>
        <w:t>1</w:t>
      </w:r>
      <w:r w:rsidRPr="00FF130D">
        <w:t xml:space="preserve"> </w:t>
      </w:r>
      <w:r>
        <w:t xml:space="preserve"> </w:t>
      </w:r>
      <w:r w:rsidRPr="00685E2F">
        <w:rPr>
          <w:rFonts w:ascii="Albertus Extra Bold" w:hAnsi="Albertus Extra Bold"/>
          <w:b/>
          <w:bCs/>
          <w:vertAlign w:val="superscript"/>
        </w:rPr>
        <w:t>1</w:t>
      </w:r>
      <w:r w:rsidRPr="00685E2F">
        <w:rPr>
          <w:rFonts w:ascii="Albertus Extra Bold" w:hAnsi="Albertus Extra Bold"/>
          <w:b/>
          <w:bCs/>
        </w:rPr>
        <w:t>[</w:t>
      </w:r>
      <w:r w:rsidRPr="00FF130D">
        <w:t>and the safety of the surrounding community.  The providers contracted by the State to provide these services must ensure, as a condition of contracting with the State, ready access to rapid testing for the presence of COVID-19, adoption and adherence to policies for the prevention of infection by COVID-19 by workers and recipients, and the provision of adequate personal protective equipment</w:t>
      </w:r>
      <w:r>
        <w:t>.</w:t>
      </w:r>
      <w:r w:rsidRPr="00ED6728">
        <w:rPr>
          <w:rFonts w:ascii="Albertus Extra Bold" w:hAnsi="Albertus Extra Bold"/>
          <w:b/>
          <w:bCs/>
        </w:rPr>
        <w:t>]</w:t>
      </w:r>
      <w:r w:rsidRPr="00ED6728">
        <w:rPr>
          <w:rFonts w:ascii="Albertus Extra Bold" w:hAnsi="Albertus Extra Bold"/>
          <w:b/>
          <w:bCs/>
          <w:vertAlign w:val="superscript"/>
        </w:rPr>
        <w:t>1</w:t>
      </w:r>
    </w:p>
    <w:p w14:paraId="7E5CEAEE" w14:textId="77777777" w:rsidR="009404D2" w:rsidRPr="00FF130D" w:rsidRDefault="009404D2" w:rsidP="009404D2">
      <w:r w:rsidRPr="00FF130D">
        <w:tab/>
        <w:t>e.</w:t>
      </w:r>
      <w:r w:rsidRPr="00FF130D">
        <w:tab/>
        <w:t xml:space="preserve">In administering its mental health, behavioral health, and addiction services public health program, it is in the State’s interest to ensure the individuals who are employed to deliver the services are entitled to raise concerns, issues, and problems, and have full exercise of their liberty of speech and conscience without fear of reprisal or retaliation. </w:t>
      </w:r>
    </w:p>
    <w:p w14:paraId="4DADB940" w14:textId="77777777" w:rsidR="009404D2" w:rsidRPr="00FF130D" w:rsidRDefault="009404D2" w:rsidP="009404D2">
      <w:r w:rsidRPr="00FF130D">
        <w:tab/>
        <w:t>f.</w:t>
      </w:r>
      <w:r w:rsidRPr="00FF130D">
        <w:tab/>
        <w:t xml:space="preserve">The aforementioned interests are best accomplished by requiring all contracts renewed or entered into after the effective date of this act between providers and the State, acting through the Department of Human </w:t>
      </w:r>
      <w:r w:rsidRPr="005C0AFB">
        <w:rPr>
          <w:rFonts w:ascii="Albertus Extra Bold" w:hAnsi="Albertus Extra Bold"/>
          <w:b/>
          <w:bCs/>
          <w:vertAlign w:val="superscript"/>
        </w:rPr>
        <w:t>1</w:t>
      </w:r>
      <w:r w:rsidRPr="005C0AFB">
        <w:rPr>
          <w:rFonts w:ascii="Albertus Extra Bold" w:hAnsi="Albertus Extra Bold"/>
          <w:b/>
          <w:bCs/>
        </w:rPr>
        <w:t>[</w:t>
      </w:r>
      <w:r w:rsidRPr="00FF130D">
        <w:t>Services</w:t>
      </w:r>
      <w:r w:rsidRPr="005C0AFB">
        <w:rPr>
          <w:rFonts w:ascii="Albertus Extra Bold" w:hAnsi="Albertus Extra Bold"/>
          <w:b/>
          <w:bCs/>
        </w:rPr>
        <w:t>]</w:t>
      </w:r>
      <w:r>
        <w:t xml:space="preserve"> </w:t>
      </w:r>
      <w:r>
        <w:rPr>
          <w:u w:val="single"/>
        </w:rPr>
        <w:t>Services’ Division of Mental Health and Addiction Services</w:t>
      </w:r>
      <w:r w:rsidRPr="005C0AFB">
        <w:rPr>
          <w:rFonts w:ascii="Albertus Extra Bold" w:hAnsi="Albertus Extra Bold"/>
          <w:b/>
          <w:bCs/>
          <w:vertAlign w:val="superscript"/>
        </w:rPr>
        <w:t>1</w:t>
      </w:r>
      <w:r w:rsidRPr="00FF130D">
        <w:t xml:space="preserve"> and Department of Children and Families</w:t>
      </w:r>
      <w:r>
        <w:t xml:space="preserve"> </w:t>
      </w:r>
      <w:r w:rsidRPr="009A144E">
        <w:rPr>
          <w:rFonts w:ascii="Albertus Extra Bold" w:hAnsi="Albertus Extra Bold"/>
          <w:b/>
          <w:bCs/>
          <w:vertAlign w:val="superscript"/>
        </w:rPr>
        <w:t>1</w:t>
      </w:r>
      <w:r w:rsidRPr="009A144E">
        <w:rPr>
          <w:rFonts w:ascii="Albertus Extra Bold" w:hAnsi="Albertus Extra Bold"/>
          <w:b/>
          <w:bCs/>
        </w:rPr>
        <w:t>[</w:t>
      </w:r>
      <w:r w:rsidRPr="00FF130D">
        <w:t>, and divisions thereof,</w:t>
      </w:r>
      <w:r w:rsidRPr="009A144E">
        <w:rPr>
          <w:rFonts w:ascii="Albertus Extra Bold" w:hAnsi="Albertus Extra Bold"/>
          <w:b/>
          <w:bCs/>
        </w:rPr>
        <w:t>]</w:t>
      </w:r>
      <w:r w:rsidRPr="009A144E">
        <w:rPr>
          <w:rFonts w:ascii="Albertus Extra Bold" w:hAnsi="Albertus Extra Bold"/>
          <w:b/>
          <w:bCs/>
          <w:vertAlign w:val="superscript"/>
        </w:rPr>
        <w:t>1</w:t>
      </w:r>
      <w:r w:rsidRPr="00FF130D">
        <w:t xml:space="preserve"> for the provision and delivery of behavioral health, mental health, and addiction services to </w:t>
      </w:r>
      <w:r w:rsidRPr="0042305A">
        <w:rPr>
          <w:rFonts w:ascii="Albertus Extra Bold" w:hAnsi="Albertus Extra Bold"/>
          <w:b/>
          <w:bCs/>
          <w:vertAlign w:val="superscript"/>
        </w:rPr>
        <w:t>1</w:t>
      </w:r>
      <w:r w:rsidRPr="0042305A">
        <w:rPr>
          <w:rFonts w:ascii="Albertus Extra Bold" w:hAnsi="Albertus Extra Bold"/>
          <w:b/>
          <w:bCs/>
        </w:rPr>
        <w:t>[</w:t>
      </w:r>
      <w:r w:rsidRPr="0042305A">
        <w:t>contain</w:t>
      </w:r>
      <w:r w:rsidRPr="00FF130D">
        <w:t>, as a material condition of its contract, terms requiring</w:t>
      </w:r>
      <w:r w:rsidRPr="0042305A">
        <w:rPr>
          <w:rFonts w:ascii="Albertus Extra Bold" w:hAnsi="Albertus Extra Bold"/>
          <w:b/>
          <w:bCs/>
        </w:rPr>
        <w:t>]</w:t>
      </w:r>
      <w:r>
        <w:t xml:space="preserve"> </w:t>
      </w:r>
      <w:r>
        <w:rPr>
          <w:u w:val="single"/>
        </w:rPr>
        <w:t>require</w:t>
      </w:r>
      <w:r w:rsidRPr="0042305A">
        <w:rPr>
          <w:rFonts w:ascii="Albertus Extra Bold" w:hAnsi="Albertus Extra Bold"/>
          <w:b/>
          <w:bCs/>
          <w:vertAlign w:val="superscript"/>
        </w:rPr>
        <w:t>1</w:t>
      </w:r>
      <w:r w:rsidRPr="00D20676">
        <w:t xml:space="preserve"> </w:t>
      </w:r>
      <w:r w:rsidRPr="00FF130D">
        <w:t>:</w:t>
      </w:r>
    </w:p>
    <w:p w14:paraId="1CA8B1C8" w14:textId="77777777" w:rsidR="009404D2" w:rsidRPr="00FF130D" w:rsidRDefault="009404D2" w:rsidP="009404D2">
      <w:r w:rsidRPr="00FF130D">
        <w:tab/>
        <w:t>(1)</w:t>
      </w:r>
      <w:r w:rsidRPr="00FF130D">
        <w:tab/>
        <w:t>adoption and adherence to a policy sufficient to ensure service providers</w:t>
      </w:r>
      <w:r>
        <w:t xml:space="preserve"> </w:t>
      </w:r>
      <w:r w:rsidRPr="00D421F7">
        <w:rPr>
          <w:rFonts w:ascii="Albertus Extra Bold" w:hAnsi="Albertus Extra Bold"/>
          <w:b/>
          <w:bCs/>
          <w:vertAlign w:val="superscript"/>
        </w:rPr>
        <w:t>1</w:t>
      </w:r>
      <w:r w:rsidRPr="00D421F7">
        <w:rPr>
          <w:rFonts w:ascii="Albertus Extra Bold" w:hAnsi="Albertus Extra Bold"/>
          <w:b/>
          <w:bCs/>
        </w:rPr>
        <w:t>[</w:t>
      </w:r>
      <w:r w:rsidRPr="00FF130D">
        <w:t>,</w:t>
      </w:r>
      <w:r w:rsidRPr="00D421F7">
        <w:rPr>
          <w:rFonts w:ascii="Albertus Extra Bold" w:hAnsi="Albertus Extra Bold"/>
          <w:b/>
          <w:bCs/>
        </w:rPr>
        <w:t>]</w:t>
      </w:r>
      <w:r>
        <w:t xml:space="preserve"> </w:t>
      </w:r>
      <w:r>
        <w:rPr>
          <w:u w:val="single"/>
        </w:rPr>
        <w:t>and</w:t>
      </w:r>
      <w:r w:rsidRPr="00D421F7">
        <w:rPr>
          <w:rFonts w:ascii="Albertus Extra Bold" w:hAnsi="Albertus Extra Bold"/>
          <w:b/>
          <w:bCs/>
          <w:vertAlign w:val="superscript"/>
        </w:rPr>
        <w:t>1</w:t>
      </w:r>
      <w:r w:rsidRPr="00FF130D">
        <w:t xml:space="preserve"> service recipients</w:t>
      </w:r>
      <w:r>
        <w:t xml:space="preserve"> </w:t>
      </w:r>
      <w:r w:rsidRPr="00D421F7">
        <w:rPr>
          <w:rFonts w:ascii="Albertus Extra Bold" w:hAnsi="Albertus Extra Bold"/>
          <w:b/>
          <w:bCs/>
          <w:vertAlign w:val="superscript"/>
        </w:rPr>
        <w:t>1</w:t>
      </w:r>
      <w:r w:rsidRPr="00D421F7">
        <w:rPr>
          <w:rFonts w:ascii="Albertus Extra Bold" w:hAnsi="Albertus Extra Bold"/>
          <w:b/>
          <w:bCs/>
        </w:rPr>
        <w:t>[</w:t>
      </w:r>
      <w:r w:rsidRPr="00FF130D">
        <w:t>, and the surrounding community</w:t>
      </w:r>
      <w:r w:rsidRPr="00D421F7">
        <w:rPr>
          <w:rFonts w:ascii="Albertus Extra Bold" w:hAnsi="Albertus Extra Bold"/>
          <w:b/>
          <w:bCs/>
        </w:rPr>
        <w:t>]</w:t>
      </w:r>
      <w:r w:rsidRPr="00D421F7">
        <w:rPr>
          <w:rFonts w:ascii="Albertus Extra Bold" w:hAnsi="Albertus Extra Bold"/>
          <w:b/>
          <w:bCs/>
          <w:vertAlign w:val="superscript"/>
        </w:rPr>
        <w:t>1</w:t>
      </w:r>
      <w:r w:rsidRPr="00FF130D">
        <w:t xml:space="preserve"> are protected from infection and the spread of COVID-19; and</w:t>
      </w:r>
    </w:p>
    <w:p w14:paraId="0EB8FDDB" w14:textId="77777777" w:rsidR="009404D2" w:rsidRPr="00685E2F" w:rsidRDefault="009404D2" w:rsidP="009404D2">
      <w:pPr>
        <w:rPr>
          <w:b/>
          <w:bCs/>
          <w:vertAlign w:val="superscript"/>
        </w:rPr>
      </w:pPr>
      <w:r w:rsidRPr="00FF130D">
        <w:tab/>
        <w:t>(2)</w:t>
      </w:r>
      <w:r w:rsidRPr="00FF130D">
        <w:tab/>
        <w:t>certification of a commitment to ensure the uninterrupted delivery of services caused by labor-management disputes</w:t>
      </w:r>
      <w:r>
        <w:t xml:space="preserve"> </w:t>
      </w:r>
      <w:r w:rsidRPr="00D421F7">
        <w:rPr>
          <w:rFonts w:ascii="Albertus Extra Bold" w:hAnsi="Albertus Extra Bold"/>
          <w:b/>
          <w:bCs/>
          <w:vertAlign w:val="superscript"/>
        </w:rPr>
        <w:t>1</w:t>
      </w:r>
      <w:r w:rsidRPr="00D421F7">
        <w:rPr>
          <w:rFonts w:ascii="Albertus Extra Bold" w:hAnsi="Albertus Extra Bold"/>
          <w:b/>
          <w:bCs/>
        </w:rPr>
        <w:t>[</w:t>
      </w:r>
      <w:r w:rsidRPr="00FF130D">
        <w:t>, and the</w:t>
      </w:r>
      <w:r w:rsidRPr="00220A97">
        <w:rPr>
          <w:rFonts w:ascii="Albertus Extra Bold" w:hAnsi="Albertus Extra Bold"/>
          <w:b/>
          <w:bCs/>
        </w:rPr>
        <w:t>]</w:t>
      </w:r>
      <w:r>
        <w:t xml:space="preserve"> </w:t>
      </w:r>
      <w:r>
        <w:rPr>
          <w:u w:val="single"/>
        </w:rPr>
        <w:t>.</w:t>
      </w:r>
      <w:r w:rsidRPr="00685E2F">
        <w:rPr>
          <w:rFonts w:ascii="Albertus Extra Bold" w:hAnsi="Albertus Extra Bold"/>
          <w:b/>
          <w:bCs/>
          <w:vertAlign w:val="superscript"/>
        </w:rPr>
        <w:t>1</w:t>
      </w:r>
      <w:r w:rsidRPr="00FF130D">
        <w:t xml:space="preserve"> </w:t>
      </w:r>
      <w:r w:rsidRPr="00685E2F">
        <w:rPr>
          <w:rFonts w:ascii="Albertus Extra Bold" w:hAnsi="Albertus Extra Bold"/>
          <w:b/>
          <w:bCs/>
          <w:vertAlign w:val="superscript"/>
        </w:rPr>
        <w:t>1</w:t>
      </w:r>
      <w:r w:rsidRPr="00685E2F">
        <w:rPr>
          <w:rFonts w:ascii="Albertus Extra Bold" w:hAnsi="Albertus Extra Bold"/>
          <w:b/>
          <w:bCs/>
        </w:rPr>
        <w:t>[</w:t>
      </w:r>
      <w:r w:rsidRPr="00685E2F">
        <w:t>recovery</w:t>
      </w:r>
      <w:r w:rsidRPr="00FF130D">
        <w:t xml:space="preserve"> of costs to the taxpayers caused by any such interruptions.</w:t>
      </w:r>
      <w:r w:rsidRPr="00685E2F">
        <w:rPr>
          <w:rFonts w:ascii="Albertus Extra Bold" w:hAnsi="Albertus Extra Bold"/>
          <w:b/>
          <w:bCs/>
        </w:rPr>
        <w:t>]</w:t>
      </w:r>
      <w:r w:rsidRPr="00685E2F">
        <w:rPr>
          <w:rFonts w:ascii="Albertus Extra Bold" w:hAnsi="Albertus Extra Bold"/>
          <w:b/>
          <w:bCs/>
          <w:vertAlign w:val="superscript"/>
        </w:rPr>
        <w:t>1</w:t>
      </w:r>
    </w:p>
    <w:p w14:paraId="342D0842" w14:textId="3EA2A059" w:rsidR="00B65BE8" w:rsidRDefault="00B65BE8" w:rsidP="007B0662"/>
    <w:p w14:paraId="57A5FC27" w14:textId="12349F8F" w:rsidR="00EF2520" w:rsidRPr="00FF130D" w:rsidRDefault="00EF2520" w:rsidP="00EF2520">
      <w:r w:rsidRPr="00FF130D">
        <w:tab/>
        <w:t>2.</w:t>
      </w:r>
      <w:r w:rsidRPr="00FF130D">
        <w:tab/>
        <w:t xml:space="preserve">a.  </w:t>
      </w:r>
      <w:r w:rsidRPr="006176C2">
        <w:rPr>
          <w:rFonts w:ascii="Albertus Extra Bold" w:hAnsi="Albertus Extra Bold"/>
          <w:b/>
          <w:bCs/>
          <w:vertAlign w:val="superscript"/>
        </w:rPr>
        <w:t>1</w:t>
      </w:r>
      <w:r w:rsidRPr="006176C2">
        <w:rPr>
          <w:rFonts w:ascii="Albertus Extra Bold" w:hAnsi="Albertus Extra Bold"/>
          <w:b/>
          <w:bCs/>
        </w:rPr>
        <w:t>[</w:t>
      </w:r>
      <w:r w:rsidRPr="00FF130D">
        <w:t>Any contract entered into or renewed by</w:t>
      </w:r>
      <w:r w:rsidRPr="006176C2">
        <w:rPr>
          <w:rFonts w:ascii="Albertus Extra Bold" w:hAnsi="Albertus Extra Bold"/>
          <w:b/>
          <w:bCs/>
        </w:rPr>
        <w:t>]</w:t>
      </w:r>
      <w:r w:rsidRPr="00FF130D">
        <w:t xml:space="preserve"> </w:t>
      </w:r>
      <w:r w:rsidRPr="006176C2">
        <w:rPr>
          <w:u w:val="single"/>
        </w:rPr>
        <w:t>Where a labor organization represents or seeks to represent the employees of a covered provider, the maintenance of a labor harmony agreement, or a commitment comparable to a labor harmony agreement, with the labor organization representing or seeking to represent employees of the covered provider shall be an ongoing material condition of maintaining a contract with</w:t>
      </w:r>
      <w:r w:rsidRPr="006176C2">
        <w:rPr>
          <w:rFonts w:ascii="Albertus Extra Bold" w:hAnsi="Albertus Extra Bold"/>
          <w:b/>
          <w:bCs/>
          <w:vertAlign w:val="superscript"/>
        </w:rPr>
        <w:t>1</w:t>
      </w:r>
      <w:r>
        <w:t xml:space="preserve"> </w:t>
      </w:r>
      <w:r w:rsidRPr="00FF130D">
        <w:t xml:space="preserve">the Department of Human </w:t>
      </w:r>
      <w:r w:rsidRPr="008458A9">
        <w:rPr>
          <w:rFonts w:ascii="Albertus Extra Bold" w:hAnsi="Albertus Extra Bold"/>
          <w:b/>
          <w:bCs/>
          <w:vertAlign w:val="superscript"/>
        </w:rPr>
        <w:t>1</w:t>
      </w:r>
      <w:r w:rsidRPr="008458A9">
        <w:rPr>
          <w:rFonts w:ascii="Albertus Extra Bold" w:hAnsi="Albertus Extra Bold"/>
          <w:b/>
          <w:bCs/>
        </w:rPr>
        <w:t>[</w:t>
      </w:r>
      <w:r w:rsidRPr="00FF130D">
        <w:t>Services</w:t>
      </w:r>
      <w:r w:rsidRPr="008458A9">
        <w:rPr>
          <w:rFonts w:ascii="Albertus Extra Bold" w:hAnsi="Albertus Extra Bold"/>
          <w:b/>
          <w:bCs/>
        </w:rPr>
        <w:t>]</w:t>
      </w:r>
      <w:r>
        <w:t xml:space="preserve"> </w:t>
      </w:r>
      <w:r>
        <w:rPr>
          <w:u w:val="single"/>
        </w:rPr>
        <w:t>Services’ Division of Mental Health and Addiction Services</w:t>
      </w:r>
      <w:r w:rsidRPr="008458A9">
        <w:rPr>
          <w:rFonts w:ascii="Albertus Extra Bold" w:hAnsi="Albertus Extra Bold"/>
          <w:b/>
          <w:bCs/>
          <w:vertAlign w:val="superscript"/>
        </w:rPr>
        <w:t>1</w:t>
      </w:r>
      <w:r w:rsidRPr="00FF130D">
        <w:t xml:space="preserve"> or the Department of Children and Families </w:t>
      </w:r>
      <w:r w:rsidRPr="00265D74">
        <w:rPr>
          <w:rFonts w:ascii="Albertus Extra Bold" w:hAnsi="Albertus Extra Bold"/>
          <w:b/>
          <w:bCs/>
          <w:vertAlign w:val="superscript"/>
        </w:rPr>
        <w:t>1</w:t>
      </w:r>
      <w:r w:rsidRPr="00265D74">
        <w:rPr>
          <w:rFonts w:ascii="Albertus Extra Bold" w:hAnsi="Albertus Extra Bold"/>
          <w:b/>
          <w:bCs/>
        </w:rPr>
        <w:t>[</w:t>
      </w:r>
      <w:r w:rsidRPr="00FF130D">
        <w:t>with a private contractor</w:t>
      </w:r>
      <w:r w:rsidRPr="00265D74">
        <w:rPr>
          <w:rFonts w:ascii="Albertus Extra Bold" w:hAnsi="Albertus Extra Bold"/>
          <w:b/>
          <w:bCs/>
        </w:rPr>
        <w:t>]</w:t>
      </w:r>
      <w:r w:rsidRPr="00265D74">
        <w:rPr>
          <w:rFonts w:ascii="Albertus Extra Bold" w:hAnsi="Albertus Extra Bold"/>
          <w:b/>
          <w:bCs/>
          <w:vertAlign w:val="superscript"/>
        </w:rPr>
        <w:t>1</w:t>
      </w:r>
      <w:r w:rsidRPr="00FF130D">
        <w:t xml:space="preserve"> for the provision of mental health, behavioral health, or addiction services </w:t>
      </w:r>
      <w:r w:rsidRPr="000B3597">
        <w:rPr>
          <w:rFonts w:ascii="Albertus Extra Bold" w:hAnsi="Albertus Extra Bold"/>
          <w:b/>
          <w:bCs/>
          <w:vertAlign w:val="superscript"/>
        </w:rPr>
        <w:t>1</w:t>
      </w:r>
      <w:r w:rsidRPr="000B3597">
        <w:rPr>
          <w:rFonts w:ascii="Albertus Extra Bold" w:hAnsi="Albertus Extra Bold"/>
          <w:b/>
          <w:bCs/>
        </w:rPr>
        <w:t>[</w:t>
      </w:r>
      <w:r w:rsidRPr="00FF130D">
        <w:t>shall contain a commitment that the</w:t>
      </w:r>
      <w:r w:rsidRPr="000B3597">
        <w:rPr>
          <w:rFonts w:ascii="Albertus Extra Bold" w:hAnsi="Albertus Extra Bold"/>
          <w:b/>
          <w:bCs/>
        </w:rPr>
        <w:t>]</w:t>
      </w:r>
      <w:r w:rsidR="002058EE">
        <w:t> </w:t>
      </w:r>
      <w:r>
        <w:rPr>
          <w:u w:val="single"/>
        </w:rPr>
        <w:t>.</w:t>
      </w:r>
      <w:r w:rsidRPr="000B3597">
        <w:rPr>
          <w:rFonts w:ascii="Albertus Extra Bold" w:hAnsi="Albertus Extra Bold"/>
          <w:b/>
          <w:bCs/>
          <w:vertAlign w:val="superscript"/>
        </w:rPr>
        <w:t>1</w:t>
      </w:r>
      <w:r>
        <w:t xml:space="preserve"> </w:t>
      </w:r>
      <w:r w:rsidRPr="000B3597">
        <w:rPr>
          <w:rFonts w:ascii="Albertus Extra Bold" w:hAnsi="Albertus Extra Bold"/>
          <w:b/>
          <w:bCs/>
          <w:vertAlign w:val="superscript"/>
        </w:rPr>
        <w:t>1</w:t>
      </w:r>
      <w:r w:rsidRPr="000B3597">
        <w:rPr>
          <w:rFonts w:ascii="Albertus Extra Bold" w:hAnsi="Albertus Extra Bold"/>
          <w:b/>
          <w:bCs/>
        </w:rPr>
        <w:t>[</w:t>
      </w:r>
      <w:r w:rsidRPr="00FF130D">
        <w:t>contracted services shall not be disrupted or delayed by labor disputes.  The commitment shall provide for the execution of an agreement between the contractor and any labor organization that represents or seeks to represent the employees of the private contractor that meets the requirements set forth herein with respect to employees delivering the essential services contracted by the departments.</w:t>
      </w:r>
    </w:p>
    <w:p w14:paraId="15C75191" w14:textId="77777777" w:rsidR="00EF2520" w:rsidRPr="00FF130D" w:rsidRDefault="00EF2520" w:rsidP="00EF2520">
      <w:r w:rsidRPr="00FF130D">
        <w:tab/>
        <w:t>b.</w:t>
      </w:r>
      <w:r w:rsidRPr="00FF130D">
        <w:tab/>
        <w:t>The commitment required pursuant to this section shall be a condition of contracting with the departments and may be satisfied through one or more of the following contractual commitments made on the part of the contractor through the term of the contract as a condition of receiving or renewing the contract:</w:t>
      </w:r>
    </w:p>
    <w:p w14:paraId="1A90E2A6" w14:textId="77777777" w:rsidR="00EF2520" w:rsidRPr="00FF130D" w:rsidRDefault="00EF2520" w:rsidP="00EF2520">
      <w:r w:rsidRPr="00FF130D">
        <w:tab/>
        <w:t>(1)</w:t>
      </w:r>
      <w:r w:rsidRPr="00FF130D">
        <w:tab/>
        <w:t>An agreement between the contractor and any exclusive representative labor organization representing the employees performing the contracted services that contains a provision prohibiting economic or industrial action on the part of all parties and includes a process for the resolution of disputes between them.</w:t>
      </w:r>
    </w:p>
    <w:p w14:paraId="4353ABE8" w14:textId="77777777" w:rsidR="00EF2520" w:rsidRPr="000B3597" w:rsidRDefault="00EF2520" w:rsidP="00EF2520">
      <w:pPr>
        <w:rPr>
          <w:u w:val="single"/>
        </w:rPr>
      </w:pPr>
      <w:r w:rsidRPr="00FF130D">
        <w:tab/>
        <w:t>(2)</w:t>
      </w:r>
      <w:r w:rsidRPr="00FF130D">
        <w:tab/>
        <w:t>An agreement between the contractor and any labor organization seeking to represent the employees performing the contracted services that includes a provision prohibiting the parties from causing, promoting, or encouraging economic, industrial, or other disruptive activity on the part of the contractor or employees performing services under the contract, and includes a procedure for resolution of disputes between parties.</w:t>
      </w:r>
      <w:r w:rsidRPr="000B3597">
        <w:rPr>
          <w:rFonts w:ascii="Albertus Extra Bold" w:hAnsi="Albertus Extra Bold"/>
          <w:b/>
          <w:bCs/>
        </w:rPr>
        <w:t>]</w:t>
      </w:r>
      <w:r>
        <w:t xml:space="preserve"> </w:t>
      </w:r>
      <w:r>
        <w:rPr>
          <w:u w:val="single"/>
        </w:rPr>
        <w:t>b.</w:t>
      </w:r>
      <w:r>
        <w:rPr>
          <w:rFonts w:ascii="Courier New" w:hAnsi="Courier New" w:cs="Courier New"/>
          <w:color w:val="000000"/>
          <w:sz w:val="22"/>
          <w:szCs w:val="22"/>
          <w:u w:val="single"/>
        </w:rPr>
        <w:t xml:space="preserve"> </w:t>
      </w:r>
      <w:r w:rsidRPr="000B3597">
        <w:rPr>
          <w:u w:val="single"/>
        </w:rPr>
        <w:t xml:space="preserve"> To satisfy the requirements of this section, a covered provider entering into or renewing a contract with the Department of Human Services’ Division of Mental Health and Addiction Services or the Department of Children and Families shall, no later than 90 days after the effective date of the contract, either:</w:t>
      </w:r>
    </w:p>
    <w:p w14:paraId="7BF6C68F" w14:textId="77777777" w:rsidR="00EF2520" w:rsidRPr="000B3597" w:rsidRDefault="00EF2520" w:rsidP="00EF2520">
      <w:pPr>
        <w:rPr>
          <w:u w:val="single"/>
        </w:rPr>
      </w:pPr>
      <w:r w:rsidRPr="000B3597">
        <w:tab/>
      </w:r>
      <w:r w:rsidRPr="000B3597">
        <w:rPr>
          <w:u w:val="single"/>
        </w:rPr>
        <w:t>(1)</w:t>
      </w:r>
      <w:r>
        <w:rPr>
          <w:u w:val="single"/>
        </w:rPr>
        <w:t xml:space="preserve"> </w:t>
      </w:r>
      <w:r w:rsidRPr="000B3597">
        <w:rPr>
          <w:u w:val="single"/>
        </w:rPr>
        <w:t xml:space="preserve"> submit an attestation, signed by a labor organization, stating that the covered provider has entered into a labor harmony agreement with such labor organization;</w:t>
      </w:r>
    </w:p>
    <w:p w14:paraId="452C4FA3" w14:textId="77777777" w:rsidR="00EF2520" w:rsidRPr="000B3597" w:rsidRDefault="00EF2520" w:rsidP="00EF2520">
      <w:pPr>
        <w:rPr>
          <w:b/>
          <w:bCs/>
          <w:vertAlign w:val="superscript"/>
        </w:rPr>
      </w:pPr>
      <w:r w:rsidRPr="000B3597">
        <w:tab/>
      </w:r>
      <w:r w:rsidRPr="000B3597">
        <w:rPr>
          <w:u w:val="single"/>
        </w:rPr>
        <w:t>(2) submit an attestation stating that the employees of the covered provider are not currently represented by a labor organization and that no labor organization has sought to represent the covered provider’s employees during the 90-day period following the covered provider entering into or renewing a contract for services with the department after the effective date of this act and up to the time of submission; or</w:t>
      </w:r>
      <w:r w:rsidRPr="000B3597">
        <w:rPr>
          <w:rFonts w:ascii="Albertus Extra Bold" w:hAnsi="Albertus Extra Bold"/>
          <w:b/>
          <w:bCs/>
          <w:vertAlign w:val="superscript"/>
        </w:rPr>
        <w:t>1</w:t>
      </w:r>
    </w:p>
    <w:p w14:paraId="4FF80B70" w14:textId="77777777" w:rsidR="00EF2520" w:rsidRPr="00FF130D" w:rsidRDefault="00EF2520" w:rsidP="00EF2520">
      <w:r w:rsidRPr="00FF130D">
        <w:tab/>
        <w:t>(3)</w:t>
      </w:r>
      <w:r>
        <w:tab/>
      </w:r>
      <w:r w:rsidRPr="00683362">
        <w:rPr>
          <w:rFonts w:ascii="Albertus Extra Bold" w:hAnsi="Albertus Extra Bold"/>
          <w:b/>
          <w:bCs/>
          <w:vertAlign w:val="superscript"/>
        </w:rPr>
        <w:t>1</w:t>
      </w:r>
      <w:r w:rsidRPr="00683362">
        <w:rPr>
          <w:rFonts w:ascii="Albertus Extra Bold" w:hAnsi="Albertus Extra Bold"/>
          <w:b/>
          <w:bCs/>
        </w:rPr>
        <w:t>[</w:t>
      </w:r>
      <w:r w:rsidRPr="00FF130D">
        <w:t>Any other</w:t>
      </w:r>
      <w:r w:rsidRPr="00683362">
        <w:rPr>
          <w:rFonts w:ascii="Albertus Extra Bold" w:hAnsi="Albertus Extra Bold"/>
          <w:b/>
          <w:bCs/>
        </w:rPr>
        <w:t>]</w:t>
      </w:r>
      <w:r>
        <w:t xml:space="preserve"> </w:t>
      </w:r>
      <w:r>
        <w:rPr>
          <w:u w:val="single"/>
        </w:rPr>
        <w:t>submit an attestation, signed by a labor organization, stating that the provider has entered into an</w:t>
      </w:r>
      <w:r w:rsidRPr="00683362">
        <w:rPr>
          <w:rFonts w:ascii="Albertus Extra Bold" w:hAnsi="Albertus Extra Bold"/>
          <w:b/>
          <w:bCs/>
          <w:vertAlign w:val="superscript"/>
        </w:rPr>
        <w:t>1</w:t>
      </w:r>
      <w:r w:rsidRPr="00FF130D">
        <w:t xml:space="preserve"> agreement or binding obligation to be maintained through the term of the contract that provides a </w:t>
      </w:r>
      <w:r w:rsidRPr="00683362">
        <w:rPr>
          <w:rFonts w:ascii="Albertus Extra Bold" w:hAnsi="Albertus Extra Bold"/>
          <w:b/>
          <w:bCs/>
          <w:vertAlign w:val="superscript"/>
        </w:rPr>
        <w:t>1</w:t>
      </w:r>
      <w:r w:rsidRPr="00683362">
        <w:rPr>
          <w:rFonts w:ascii="Albertus Extra Bold" w:hAnsi="Albertus Extra Bold"/>
          <w:b/>
          <w:bCs/>
        </w:rPr>
        <w:t>[</w:t>
      </w:r>
      <w:r w:rsidRPr="00FF130D">
        <w:t>comparable</w:t>
      </w:r>
      <w:r w:rsidRPr="00683362">
        <w:rPr>
          <w:rFonts w:ascii="Albertus Extra Bold" w:hAnsi="Albertus Extra Bold"/>
          <w:b/>
          <w:bCs/>
        </w:rPr>
        <w:t>]</w:t>
      </w:r>
      <w:r w:rsidRPr="00683362">
        <w:rPr>
          <w:rFonts w:ascii="Albertus Extra Bold" w:hAnsi="Albertus Extra Bold"/>
          <w:b/>
          <w:bCs/>
          <w:vertAlign w:val="superscript"/>
        </w:rPr>
        <w:t>1</w:t>
      </w:r>
      <w:r w:rsidRPr="00FF130D">
        <w:t xml:space="preserve"> commitment </w:t>
      </w:r>
      <w:r w:rsidRPr="00683362">
        <w:rPr>
          <w:rFonts w:ascii="Albertus Extra Bold" w:hAnsi="Albertus Extra Bold"/>
          <w:b/>
          <w:bCs/>
          <w:vertAlign w:val="superscript"/>
        </w:rPr>
        <w:t>1</w:t>
      </w:r>
      <w:r w:rsidRPr="00683362">
        <w:rPr>
          <w:rFonts w:ascii="Albertus Extra Bold" w:hAnsi="Albertus Extra Bold"/>
          <w:b/>
          <w:bCs/>
        </w:rPr>
        <w:t>[</w:t>
      </w:r>
      <w:r w:rsidRPr="00FF130D">
        <w:t>as paragraphs (1) or (2) of this subsection</w:t>
      </w:r>
      <w:r w:rsidRPr="00683362">
        <w:rPr>
          <w:rFonts w:ascii="Albertus Extra Bold" w:hAnsi="Albertus Extra Bold"/>
          <w:b/>
          <w:bCs/>
        </w:rPr>
        <w:t>]</w:t>
      </w:r>
      <w:r>
        <w:t xml:space="preserve"> </w:t>
      </w:r>
      <w:r w:rsidRPr="00683362">
        <w:rPr>
          <w:u w:val="single"/>
        </w:rPr>
        <w:t xml:space="preserve">comparable to a labor harmony agreement, as defined in section 4 of P.L. </w:t>
      </w:r>
      <w:r>
        <w:rPr>
          <w:u w:val="single"/>
        </w:rPr>
        <w:t xml:space="preserve"> </w:t>
      </w:r>
      <w:r w:rsidRPr="00683362">
        <w:rPr>
          <w:u w:val="single"/>
        </w:rPr>
        <w:t>c</w:t>
      </w:r>
      <w:r>
        <w:rPr>
          <w:u w:val="single"/>
        </w:rPr>
        <w:t xml:space="preserve"> </w:t>
      </w:r>
      <w:r w:rsidRPr="00683362">
        <w:rPr>
          <w:u w:val="single"/>
        </w:rPr>
        <w:t xml:space="preserve"> (C.</w:t>
      </w:r>
      <w:r>
        <w:rPr>
          <w:u w:val="single"/>
        </w:rPr>
        <w:t xml:space="preserve"> </w:t>
      </w:r>
      <w:r w:rsidRPr="00683362">
        <w:rPr>
          <w:u w:val="single"/>
        </w:rPr>
        <w:t xml:space="preserve"> ) (pending before the Legislature as this bill)</w:t>
      </w:r>
      <w:r w:rsidRPr="00683362">
        <w:rPr>
          <w:rFonts w:ascii="Albertus Extra Bold" w:hAnsi="Albertus Extra Bold"/>
          <w:b/>
          <w:bCs/>
          <w:vertAlign w:val="superscript"/>
        </w:rPr>
        <w:t>1</w:t>
      </w:r>
      <w:r>
        <w:t xml:space="preserve"> </w:t>
      </w:r>
      <w:r w:rsidRPr="00FF130D">
        <w:t>.</w:t>
      </w:r>
    </w:p>
    <w:p w14:paraId="79DB9EC0" w14:textId="77777777" w:rsidR="00EF2520" w:rsidRPr="00867638" w:rsidRDefault="00EF2520" w:rsidP="00EF2520">
      <w:pPr>
        <w:rPr>
          <w:u w:val="single"/>
        </w:rPr>
      </w:pPr>
      <w:r w:rsidRPr="00FF130D">
        <w:tab/>
      </w:r>
      <w:r w:rsidRPr="00867638">
        <w:rPr>
          <w:rFonts w:ascii="Albertus Extra Bold" w:hAnsi="Albertus Extra Bold"/>
          <w:b/>
          <w:bCs/>
          <w:vertAlign w:val="superscript"/>
        </w:rPr>
        <w:t>1</w:t>
      </w:r>
      <w:r w:rsidRPr="00867638">
        <w:rPr>
          <w:rFonts w:ascii="Albertus Extra Bold" w:hAnsi="Albertus Extra Bold"/>
          <w:b/>
          <w:bCs/>
        </w:rPr>
        <w:t>[</w:t>
      </w:r>
      <w:r w:rsidRPr="00FF130D">
        <w:t>c.</w:t>
      </w:r>
      <w:r w:rsidRPr="00FF130D">
        <w:tab/>
        <w:t>The contractual commitments required under this section shall be made a binding provision of any contract subject to this section.  Any contract subject to this section that is awarded or renewed shall include a provision providing for reimbursement to the</w:t>
      </w:r>
      <w:r w:rsidRPr="00867638">
        <w:rPr>
          <w:rFonts w:ascii="Albertus Extra Bold" w:hAnsi="Albertus Extra Bold"/>
          <w:b/>
          <w:bCs/>
        </w:rPr>
        <w:t>]</w:t>
      </w:r>
      <w:r w:rsidRPr="00FF130D">
        <w:t xml:space="preserve"> </w:t>
      </w:r>
      <w:r w:rsidRPr="00867638">
        <w:rPr>
          <w:u w:val="single"/>
        </w:rPr>
        <w:t>c.</w:t>
      </w:r>
      <w:r>
        <w:rPr>
          <w:u w:val="single"/>
        </w:rPr>
        <w:t xml:space="preserve"> </w:t>
      </w:r>
      <w:r w:rsidRPr="00867638">
        <w:rPr>
          <w:u w:val="single"/>
        </w:rPr>
        <w:t xml:space="preserve"> Where a labor organization seeks to represent the employees of a covered provider after the expiration of the 90-day period following the effective date of the contract, the labor organization shall provide notice to the applicable department regarding such efforts.</w:t>
      </w:r>
      <w:r>
        <w:rPr>
          <w:u w:val="single"/>
        </w:rPr>
        <w:t xml:space="preserve"> </w:t>
      </w:r>
      <w:r w:rsidRPr="00867638">
        <w:rPr>
          <w:u w:val="single"/>
        </w:rPr>
        <w:t xml:space="preserve"> The covered provider shall then submit an attestation signed by the labor organization to the applicable department no later than 90 days after the date of notice stating that it has entered into:</w:t>
      </w:r>
    </w:p>
    <w:p w14:paraId="79662E7F" w14:textId="77777777" w:rsidR="00EF2520" w:rsidRPr="00867638" w:rsidRDefault="00EF2520" w:rsidP="00EF2520">
      <w:pPr>
        <w:rPr>
          <w:u w:val="single"/>
        </w:rPr>
      </w:pPr>
      <w:r w:rsidRPr="006B6DBC">
        <w:tab/>
      </w:r>
      <w:r w:rsidRPr="00867638">
        <w:rPr>
          <w:u w:val="single"/>
        </w:rPr>
        <w:t>(1)</w:t>
      </w:r>
      <w:r>
        <w:rPr>
          <w:u w:val="single"/>
        </w:rPr>
        <w:t xml:space="preserve"> </w:t>
      </w:r>
      <w:r w:rsidRPr="00867638">
        <w:rPr>
          <w:u w:val="single"/>
        </w:rPr>
        <w:t xml:space="preserve"> a labor harmony agreement with such labor organization; or</w:t>
      </w:r>
    </w:p>
    <w:p w14:paraId="6012BCFD" w14:textId="77777777" w:rsidR="00EF2520" w:rsidRPr="00867638" w:rsidRDefault="00EF2520" w:rsidP="00EF2520">
      <w:pPr>
        <w:rPr>
          <w:u w:val="single"/>
        </w:rPr>
      </w:pPr>
      <w:r w:rsidRPr="006B6DBC">
        <w:tab/>
      </w:r>
      <w:r w:rsidRPr="00867638">
        <w:rPr>
          <w:u w:val="single"/>
        </w:rPr>
        <w:t>(2)</w:t>
      </w:r>
      <w:r>
        <w:rPr>
          <w:u w:val="single"/>
        </w:rPr>
        <w:t xml:space="preserve"> </w:t>
      </w:r>
      <w:r w:rsidRPr="00867638">
        <w:rPr>
          <w:u w:val="single"/>
        </w:rPr>
        <w:t xml:space="preserve"> an agreement or binding obligation to be maintained through the term of the contract that provides a commitment comparable to a labor harmony agreement, as defined in section 4 of P.L.</w:t>
      </w:r>
      <w:r>
        <w:rPr>
          <w:u w:val="single"/>
        </w:rPr>
        <w:t xml:space="preserve"> </w:t>
      </w:r>
      <w:r w:rsidRPr="00867638">
        <w:rPr>
          <w:u w:val="single"/>
        </w:rPr>
        <w:t xml:space="preserve"> c</w:t>
      </w:r>
      <w:r>
        <w:rPr>
          <w:u w:val="single"/>
        </w:rPr>
        <w:t xml:space="preserve">  </w:t>
      </w:r>
      <w:r w:rsidRPr="00867638">
        <w:rPr>
          <w:u w:val="single"/>
        </w:rPr>
        <w:t>(C.</w:t>
      </w:r>
      <w:r>
        <w:rPr>
          <w:u w:val="single"/>
        </w:rPr>
        <w:t xml:space="preserve">  </w:t>
      </w:r>
      <w:r w:rsidRPr="00867638">
        <w:rPr>
          <w:u w:val="single"/>
        </w:rPr>
        <w:t>) (pending before the Legislature as this bill).</w:t>
      </w:r>
    </w:p>
    <w:p w14:paraId="49E923AE" w14:textId="77777777" w:rsidR="00EF2520" w:rsidRPr="00867638" w:rsidRDefault="00EF2520" w:rsidP="00EF2520">
      <w:pPr>
        <w:rPr>
          <w:b/>
          <w:bCs/>
          <w:vertAlign w:val="superscript"/>
        </w:rPr>
      </w:pPr>
      <w:r w:rsidRPr="00853A17">
        <w:tab/>
      </w:r>
      <w:r w:rsidRPr="00867638">
        <w:rPr>
          <w:u w:val="single"/>
        </w:rPr>
        <w:t>d.</w:t>
      </w:r>
      <w:r>
        <w:rPr>
          <w:u w:val="single"/>
        </w:rPr>
        <w:t xml:space="preserve"> </w:t>
      </w:r>
      <w:r w:rsidRPr="00867638">
        <w:rPr>
          <w:u w:val="single"/>
        </w:rPr>
        <w:t xml:space="preserve"> The failure to submit an attestation as required pursuant to subsections b. and c. of this section shall result in financial recovery and a corrective action plan issued by the applicable department.</w:t>
      </w:r>
      <w:r>
        <w:rPr>
          <w:u w:val="single"/>
        </w:rPr>
        <w:t xml:space="preserve"> </w:t>
      </w:r>
      <w:r w:rsidRPr="00867638">
        <w:rPr>
          <w:u w:val="single"/>
        </w:rPr>
        <w:t xml:space="preserve"> Should the provider not adhere to the terms of the corrective action plan, the applicable department shall cancel or not renew the contract upon</w:t>
      </w:r>
      <w:r>
        <w:rPr>
          <w:u w:val="single"/>
        </w:rPr>
        <w:t xml:space="preserve"> </w:t>
      </w:r>
      <w:r w:rsidRPr="00867638">
        <w:rPr>
          <w:u w:val="single"/>
        </w:rPr>
        <w:t>the</w:t>
      </w:r>
      <w:r>
        <w:rPr>
          <w:u w:val="single"/>
        </w:rPr>
        <w:t xml:space="preserve"> </w:t>
      </w:r>
      <w:r w:rsidRPr="00867638">
        <w:rPr>
          <w:u w:val="single"/>
        </w:rPr>
        <w:t xml:space="preserve">applicable department obtaining a replacement provider to assume the contract or otherwise provide the services. </w:t>
      </w:r>
      <w:r>
        <w:rPr>
          <w:u w:val="single"/>
        </w:rPr>
        <w:t xml:space="preserve"> </w:t>
      </w:r>
      <w:r w:rsidRPr="00867638">
        <w:rPr>
          <w:u w:val="single"/>
        </w:rPr>
        <w:t>The applicable department may grant an extension to the deadlines in subsections b. and c. of this section based upon extenuating circumstances or for good cause shown.</w:t>
      </w:r>
      <w:r>
        <w:rPr>
          <w:u w:val="single"/>
        </w:rPr>
        <w:t xml:space="preserve"> </w:t>
      </w:r>
      <w:r w:rsidRPr="00867638">
        <w:rPr>
          <w:u w:val="single"/>
        </w:rPr>
        <w:t xml:space="preserve"> An extension shall be warranted pursuant to subsection b. if a labor organization seeks to represent a covered provider’s employees after the contract is renewed or entered into but within the 90-day period following the effective date of the contract.</w:t>
      </w:r>
      <w:r w:rsidRPr="00867638">
        <w:rPr>
          <w:rFonts w:ascii="Albertus Extra Bold" w:hAnsi="Albertus Extra Bold"/>
          <w:b/>
          <w:bCs/>
          <w:vertAlign w:val="superscript"/>
        </w:rPr>
        <w:t>1</w:t>
      </w:r>
    </w:p>
    <w:p w14:paraId="100AA806" w14:textId="77777777" w:rsidR="00EF2520" w:rsidRPr="00FF130D" w:rsidRDefault="00EF2520" w:rsidP="00EF2520">
      <w:r w:rsidRPr="00867638">
        <w:rPr>
          <w:rFonts w:ascii="Albertus Extra Bold" w:hAnsi="Albertus Extra Bold"/>
          <w:b/>
          <w:bCs/>
          <w:vertAlign w:val="superscript"/>
        </w:rPr>
        <w:t>1</w:t>
      </w:r>
      <w:r w:rsidRPr="00867638">
        <w:rPr>
          <w:rFonts w:ascii="Albertus Extra Bold" w:hAnsi="Albertus Extra Bold"/>
          <w:b/>
          <w:bCs/>
        </w:rPr>
        <w:t>[</w:t>
      </w:r>
      <w:r w:rsidRPr="00FF130D">
        <w:t>department of the actual costs to the department arising from the inadequacy of the commitment provided by the contractor.</w:t>
      </w:r>
    </w:p>
    <w:p w14:paraId="03DCB18B" w14:textId="77777777" w:rsidR="00EF2520" w:rsidRPr="00FF130D" w:rsidRDefault="00EF2520" w:rsidP="00EF2520">
      <w:r w:rsidRPr="00FF130D">
        <w:tab/>
        <w:t>d.</w:t>
      </w:r>
      <w:r w:rsidRPr="00FF130D">
        <w:tab/>
        <w:t>Prior to awarding or renewing any contract subject to this section, the departments shall determine whether there has been any prior disruption in the provision of the services provided by the contractor.</w:t>
      </w:r>
    </w:p>
    <w:p w14:paraId="4493E049" w14:textId="77777777" w:rsidR="00EF2520" w:rsidRPr="00867638" w:rsidRDefault="00EF2520" w:rsidP="00EF2520">
      <w:pPr>
        <w:rPr>
          <w:b/>
          <w:bCs/>
          <w:vertAlign w:val="superscript"/>
        </w:rPr>
      </w:pPr>
      <w:bookmarkStart w:id="2" w:name="_Hlk44329168"/>
      <w:r w:rsidRPr="00FF130D">
        <w:tab/>
      </w:r>
      <w:bookmarkStart w:id="3" w:name="_Hlk44327726"/>
      <w:r w:rsidRPr="00FF130D">
        <w:t>The commissioners shall consider any submissions by any interested party in making the determination, that shall be provided to the contractor for response.  If a dispute exists with respect to either condition, the commissioners shall refer the matter to the State Treasurer to conduct a hearing and make findings of fact which shall be considered by the commissioners in making any award or renewal.</w:t>
      </w:r>
      <w:bookmarkEnd w:id="3"/>
      <w:r w:rsidRPr="00867638">
        <w:rPr>
          <w:rFonts w:ascii="Albertus Extra Bold" w:hAnsi="Albertus Extra Bold"/>
          <w:b/>
          <w:bCs/>
        </w:rPr>
        <w:t>]</w:t>
      </w:r>
      <w:r w:rsidRPr="00867638">
        <w:rPr>
          <w:rFonts w:ascii="Albertus Extra Bold" w:hAnsi="Albertus Extra Bold"/>
          <w:b/>
          <w:bCs/>
          <w:vertAlign w:val="superscript"/>
        </w:rPr>
        <w:t>1</w:t>
      </w:r>
    </w:p>
    <w:bookmarkEnd w:id="2"/>
    <w:p w14:paraId="78103299" w14:textId="77777777" w:rsidR="00EF2520" w:rsidRPr="00FF130D" w:rsidRDefault="00EF2520" w:rsidP="00EF2520">
      <w:r w:rsidRPr="00FF130D">
        <w:tab/>
        <w:t>e.</w:t>
      </w:r>
      <w:r w:rsidRPr="00FF130D">
        <w:tab/>
        <w:t xml:space="preserve">Any interested person may provide notice to the commissioner of the </w:t>
      </w:r>
      <w:r w:rsidRPr="007825A5">
        <w:rPr>
          <w:rFonts w:ascii="Albertus Extra Bold" w:hAnsi="Albertus Extra Bold"/>
          <w:b/>
          <w:bCs/>
          <w:vertAlign w:val="superscript"/>
        </w:rPr>
        <w:t>1</w:t>
      </w:r>
      <w:r w:rsidRPr="007825A5">
        <w:rPr>
          <w:rFonts w:ascii="Albertus Extra Bold" w:hAnsi="Albertus Extra Bold"/>
          <w:b/>
          <w:bCs/>
        </w:rPr>
        <w:t>[</w:t>
      </w:r>
      <w:r w:rsidRPr="00FF130D">
        <w:t>pertinent</w:t>
      </w:r>
      <w:r w:rsidRPr="007825A5">
        <w:rPr>
          <w:rFonts w:ascii="Albertus Extra Bold" w:hAnsi="Albertus Extra Bold"/>
          <w:b/>
          <w:bCs/>
        </w:rPr>
        <w:t>]</w:t>
      </w:r>
      <w:r>
        <w:t xml:space="preserve"> </w:t>
      </w:r>
      <w:r>
        <w:rPr>
          <w:u w:val="single"/>
        </w:rPr>
        <w:t>applicable</w:t>
      </w:r>
      <w:r w:rsidRPr="007825A5">
        <w:rPr>
          <w:rFonts w:ascii="Albertus Extra Bold" w:hAnsi="Albertus Extra Bold"/>
          <w:b/>
          <w:bCs/>
          <w:vertAlign w:val="superscript"/>
        </w:rPr>
        <w:t>1</w:t>
      </w:r>
      <w:r w:rsidRPr="00FF130D">
        <w:t xml:space="preserve"> department of a </w:t>
      </w:r>
      <w:r w:rsidRPr="007825A5">
        <w:rPr>
          <w:rFonts w:ascii="Albertus Extra Bold" w:hAnsi="Albertus Extra Bold"/>
          <w:b/>
          <w:bCs/>
          <w:vertAlign w:val="superscript"/>
        </w:rPr>
        <w:t>1</w:t>
      </w:r>
      <w:r w:rsidRPr="007825A5">
        <w:rPr>
          <w:rFonts w:ascii="Albertus Extra Bold" w:hAnsi="Albertus Extra Bold"/>
          <w:b/>
          <w:bCs/>
        </w:rPr>
        <w:t>[</w:t>
      </w:r>
      <w:r w:rsidRPr="00FF130D">
        <w:t>refusal</w:t>
      </w:r>
      <w:r w:rsidRPr="007825A5">
        <w:rPr>
          <w:rFonts w:ascii="Albertus Extra Bold" w:hAnsi="Albertus Extra Bold"/>
          <w:b/>
          <w:bCs/>
        </w:rPr>
        <w:t>]</w:t>
      </w:r>
      <w:r>
        <w:t xml:space="preserve"> </w:t>
      </w:r>
      <w:r>
        <w:rPr>
          <w:u w:val="single"/>
        </w:rPr>
        <w:t>failure</w:t>
      </w:r>
      <w:r w:rsidRPr="007825A5">
        <w:rPr>
          <w:rFonts w:ascii="Albertus Extra Bold" w:hAnsi="Albertus Extra Bold"/>
          <w:b/>
          <w:bCs/>
          <w:vertAlign w:val="superscript"/>
        </w:rPr>
        <w:t>1</w:t>
      </w:r>
      <w:r w:rsidRPr="00FF130D">
        <w:t xml:space="preserve"> by a </w:t>
      </w:r>
      <w:r w:rsidRPr="007825A5">
        <w:rPr>
          <w:rFonts w:ascii="Albertus Extra Bold" w:hAnsi="Albertus Extra Bold"/>
          <w:b/>
          <w:bCs/>
          <w:vertAlign w:val="superscript"/>
        </w:rPr>
        <w:t>1</w:t>
      </w:r>
      <w:r w:rsidRPr="007825A5">
        <w:rPr>
          <w:rFonts w:ascii="Albertus Extra Bold" w:hAnsi="Albertus Extra Bold"/>
          <w:b/>
          <w:bCs/>
        </w:rPr>
        <w:t>[</w:t>
      </w:r>
      <w:r w:rsidRPr="00FF130D">
        <w:t>contractor</w:t>
      </w:r>
      <w:r w:rsidRPr="007825A5">
        <w:rPr>
          <w:rFonts w:ascii="Albertus Extra Bold" w:hAnsi="Albertus Extra Bold"/>
          <w:b/>
          <w:bCs/>
        </w:rPr>
        <w:t>]</w:t>
      </w:r>
      <w:r>
        <w:t xml:space="preserve"> </w:t>
      </w:r>
      <w:r>
        <w:rPr>
          <w:u w:val="single"/>
        </w:rPr>
        <w:t>covered provider</w:t>
      </w:r>
      <w:r w:rsidRPr="007825A5">
        <w:rPr>
          <w:rFonts w:ascii="Albertus Extra Bold" w:hAnsi="Albertus Extra Bold"/>
          <w:b/>
          <w:bCs/>
          <w:vertAlign w:val="superscript"/>
        </w:rPr>
        <w:t>1</w:t>
      </w:r>
      <w:r w:rsidRPr="00FF130D">
        <w:t xml:space="preserve"> to adhere to </w:t>
      </w:r>
      <w:r w:rsidRPr="007825A5">
        <w:rPr>
          <w:rFonts w:ascii="Albertus Extra Bold" w:hAnsi="Albertus Extra Bold"/>
          <w:b/>
          <w:bCs/>
          <w:vertAlign w:val="superscript"/>
        </w:rPr>
        <w:t>1</w:t>
      </w:r>
      <w:r w:rsidRPr="007825A5">
        <w:rPr>
          <w:rFonts w:ascii="Albertus Extra Bold" w:hAnsi="Albertus Extra Bold"/>
          <w:b/>
          <w:bCs/>
        </w:rPr>
        <w:t>[</w:t>
      </w:r>
      <w:r w:rsidRPr="00FF130D">
        <w:t>its contractual commitments required by this act</w:t>
      </w:r>
      <w:r w:rsidRPr="007825A5">
        <w:rPr>
          <w:rFonts w:ascii="Albertus Extra Bold" w:hAnsi="Albertus Extra Bold"/>
          <w:b/>
          <w:bCs/>
        </w:rPr>
        <w:t>]</w:t>
      </w:r>
      <w:r>
        <w:t xml:space="preserve"> </w:t>
      </w:r>
      <w:r>
        <w:rPr>
          <w:u w:val="single"/>
        </w:rPr>
        <w:t>the requirements of this section</w:t>
      </w:r>
      <w:r w:rsidRPr="007825A5">
        <w:rPr>
          <w:rFonts w:ascii="Albertus Extra Bold" w:hAnsi="Albertus Extra Bold"/>
          <w:b/>
          <w:bCs/>
          <w:vertAlign w:val="superscript"/>
        </w:rPr>
        <w:t>1</w:t>
      </w:r>
      <w:r>
        <w:t xml:space="preserve"> </w:t>
      </w:r>
      <w:r w:rsidRPr="00FF130D">
        <w:t xml:space="preserve">.  Upon filing of such a notice, the commissioner </w:t>
      </w:r>
      <w:r w:rsidRPr="00526C0A">
        <w:rPr>
          <w:rFonts w:ascii="Albertus Extra Bold" w:hAnsi="Albertus Extra Bold"/>
          <w:b/>
          <w:bCs/>
          <w:vertAlign w:val="superscript"/>
        </w:rPr>
        <w:t>1</w:t>
      </w:r>
      <w:r w:rsidRPr="007825A5">
        <w:rPr>
          <w:u w:val="single"/>
        </w:rPr>
        <w:t>may review and make findings, or, in consultation with the Commissioner of Labor and Workforce Development, the State Board of Mediation, or both, as appropriate,</w:t>
      </w:r>
      <w:r w:rsidRPr="007825A5">
        <w:rPr>
          <w:rFonts w:ascii="Albertus Extra Bold" w:hAnsi="Albertus Extra Bold"/>
          <w:b/>
          <w:bCs/>
          <w:vertAlign w:val="superscript"/>
        </w:rPr>
        <w:t>1</w:t>
      </w:r>
      <w:r>
        <w:t xml:space="preserve"> </w:t>
      </w:r>
      <w:r w:rsidRPr="00FF130D">
        <w:t>shall commence an investigation</w:t>
      </w:r>
      <w:r>
        <w:t xml:space="preserve"> </w:t>
      </w:r>
      <w:r w:rsidRPr="00404E89">
        <w:rPr>
          <w:rFonts w:ascii="Albertus Extra Bold" w:hAnsi="Albertus Extra Bold"/>
          <w:b/>
          <w:bCs/>
          <w:vertAlign w:val="superscript"/>
        </w:rPr>
        <w:t>1</w:t>
      </w:r>
      <w:r w:rsidRPr="00404E89">
        <w:rPr>
          <w:rFonts w:ascii="Albertus Extra Bold" w:hAnsi="Albertus Extra Bold"/>
          <w:b/>
          <w:bCs/>
        </w:rPr>
        <w:t>[</w:t>
      </w:r>
      <w:r w:rsidRPr="00FF130D">
        <w:t>and, upon</w:t>
      </w:r>
      <w:r w:rsidRPr="00404E89">
        <w:rPr>
          <w:rFonts w:ascii="Albertus Extra Bold" w:hAnsi="Albertus Extra Bold"/>
          <w:b/>
          <w:bCs/>
        </w:rPr>
        <w:t>]</w:t>
      </w:r>
      <w:r>
        <w:t xml:space="preserve"> </w:t>
      </w:r>
      <w:r>
        <w:rPr>
          <w:u w:val="single"/>
        </w:rPr>
        <w:t>.  Upon</w:t>
      </w:r>
      <w:r w:rsidRPr="00404E89">
        <w:rPr>
          <w:rFonts w:ascii="Albertus Extra Bold" w:hAnsi="Albertus Extra Bold"/>
          <w:b/>
          <w:bCs/>
          <w:vertAlign w:val="superscript"/>
        </w:rPr>
        <w:t>1</w:t>
      </w:r>
      <w:r w:rsidRPr="00FF130D">
        <w:t xml:space="preserve"> finding </w:t>
      </w:r>
      <w:r w:rsidRPr="00404E89">
        <w:rPr>
          <w:rFonts w:ascii="Albertus Extra Bold" w:hAnsi="Albertus Extra Bold"/>
          <w:b/>
          <w:bCs/>
          <w:vertAlign w:val="superscript"/>
        </w:rPr>
        <w:t>1</w:t>
      </w:r>
      <w:r w:rsidRPr="00404E89">
        <w:rPr>
          <w:rFonts w:ascii="Albertus Extra Bold" w:hAnsi="Albertus Extra Bold"/>
          <w:b/>
          <w:bCs/>
        </w:rPr>
        <w:t>[</w:t>
      </w:r>
      <w:r w:rsidRPr="00FF130D">
        <w:t>of a failure or breach,</w:t>
      </w:r>
      <w:r w:rsidRPr="00404E89">
        <w:rPr>
          <w:rFonts w:ascii="Albertus Extra Bold" w:hAnsi="Albertus Extra Bold"/>
          <w:b/>
          <w:bCs/>
        </w:rPr>
        <w:t>]</w:t>
      </w:r>
      <w:r>
        <w:t xml:space="preserve"> </w:t>
      </w:r>
      <w:r w:rsidRPr="00404E89">
        <w:rPr>
          <w:u w:val="single"/>
        </w:rPr>
        <w:t>that a covered provider failed to adhere to the requirements of this section, the commissioner of the applicable department shall take corrective action which may include a corrective action plan, financial recovery and cost recoupment, and cancelling or declining to renew the contract. Should the covered provider fail to engage in or complete corrective action, the commissioner of the applicable department</w:t>
      </w:r>
      <w:r w:rsidRPr="00404E89">
        <w:rPr>
          <w:rFonts w:ascii="Albertus Extra Bold" w:hAnsi="Albertus Extra Bold"/>
          <w:b/>
          <w:bCs/>
          <w:vertAlign w:val="superscript"/>
        </w:rPr>
        <w:t>1</w:t>
      </w:r>
      <w:r w:rsidRPr="00FF130D">
        <w:t xml:space="preserve"> shall cancel or decline to renew the contract.  Such findings shall be reviewable, pursuant to the “Administrative Procedure Act," P.L.1968, c.410 (C.52:14B-1 et seq.).  The </w:t>
      </w:r>
      <w:r w:rsidRPr="00404E89">
        <w:rPr>
          <w:rFonts w:ascii="Albertus Extra Bold" w:hAnsi="Albertus Extra Bold"/>
          <w:b/>
          <w:bCs/>
          <w:vertAlign w:val="superscript"/>
        </w:rPr>
        <w:t>1</w:t>
      </w:r>
      <w:r w:rsidRPr="00404E89">
        <w:rPr>
          <w:rFonts w:ascii="Albertus Extra Bold" w:hAnsi="Albertus Extra Bold"/>
          <w:b/>
          <w:bCs/>
        </w:rPr>
        <w:t>[</w:t>
      </w:r>
      <w:r w:rsidRPr="00FF130D">
        <w:t>pertinent contract shall not be awarded or renewed</w:t>
      </w:r>
      <w:r w:rsidRPr="00404E89">
        <w:rPr>
          <w:rFonts w:ascii="Albertus Extra Bold" w:hAnsi="Albertus Extra Bold"/>
          <w:b/>
          <w:bCs/>
        </w:rPr>
        <w:t>]</w:t>
      </w:r>
      <w:r w:rsidRPr="00FF130D">
        <w:t xml:space="preserve"> </w:t>
      </w:r>
      <w:r w:rsidRPr="00404E89">
        <w:rPr>
          <w:u w:val="single"/>
        </w:rPr>
        <w:t>commissioner of the applicable department shall not take corrective action</w:t>
      </w:r>
      <w:r w:rsidRPr="00404E89">
        <w:rPr>
          <w:rFonts w:ascii="Albertus Extra Bold" w:hAnsi="Albertus Extra Bold"/>
          <w:b/>
          <w:bCs/>
          <w:vertAlign w:val="superscript"/>
        </w:rPr>
        <w:t>1</w:t>
      </w:r>
      <w:r>
        <w:t xml:space="preserve"> </w:t>
      </w:r>
      <w:r w:rsidRPr="00FF130D">
        <w:t>until the conclusion of such proceedings</w:t>
      </w:r>
      <w:r>
        <w:t xml:space="preserve"> </w:t>
      </w:r>
      <w:r w:rsidRPr="00404E89">
        <w:rPr>
          <w:rFonts w:ascii="Albertus Extra Bold" w:hAnsi="Albertus Extra Bold"/>
          <w:b/>
          <w:bCs/>
          <w:vertAlign w:val="superscript"/>
        </w:rPr>
        <w:t>1</w:t>
      </w:r>
      <w:r w:rsidRPr="00404E89">
        <w:rPr>
          <w:rFonts w:ascii="Albertus Extra Bold" w:hAnsi="Albertus Extra Bold"/>
          <w:b/>
          <w:bCs/>
        </w:rPr>
        <w:t>[</w:t>
      </w:r>
      <w:r w:rsidRPr="00FF130D">
        <w:t>, but may be maintained on a month-to-month basis</w:t>
      </w:r>
      <w:r w:rsidRPr="00404E89">
        <w:rPr>
          <w:rFonts w:ascii="Albertus Extra Bold" w:hAnsi="Albertus Extra Bold"/>
          <w:b/>
          <w:bCs/>
        </w:rPr>
        <w:t>]</w:t>
      </w:r>
      <w:r w:rsidRPr="00404E89">
        <w:rPr>
          <w:rFonts w:ascii="Albertus Extra Bold" w:hAnsi="Albertus Extra Bold"/>
          <w:b/>
          <w:bCs/>
          <w:vertAlign w:val="superscript"/>
        </w:rPr>
        <w:t>1</w:t>
      </w:r>
      <w:r>
        <w:t xml:space="preserve"> </w:t>
      </w:r>
      <w:r w:rsidRPr="00FF130D">
        <w:t>.  The provisions of this subsection shall be limited solely to the issue of adherence to the contractual commitment made by the contractor and accepted by the departments as a condition of the contract, and is neither exclusive nor preclusive as to any claim under the “Conscientious Employee Protection Act,” P.L.1986, c.105 (C.34:19-1 et seq.), or the “New Jersey False Claims Act,” P.L.2007, c.265 (C.2A:32C-1 et seq.).</w:t>
      </w:r>
    </w:p>
    <w:p w14:paraId="20720EDF" w14:textId="77777777" w:rsidR="00EF2520" w:rsidRPr="007D78D9" w:rsidRDefault="00EF2520" w:rsidP="00EF2520">
      <w:pPr>
        <w:rPr>
          <w:b/>
          <w:bCs/>
          <w:vertAlign w:val="superscript"/>
        </w:rPr>
      </w:pPr>
      <w:r w:rsidRPr="00FF130D">
        <w:tab/>
      </w:r>
      <w:r w:rsidRPr="007D78D9">
        <w:rPr>
          <w:rFonts w:ascii="Albertus Extra Bold" w:hAnsi="Albertus Extra Bold"/>
          <w:b/>
          <w:bCs/>
          <w:vertAlign w:val="superscript"/>
        </w:rPr>
        <w:t>1</w:t>
      </w:r>
      <w:r w:rsidRPr="007D78D9">
        <w:rPr>
          <w:rFonts w:ascii="Albertus Extra Bold" w:hAnsi="Albertus Extra Bold"/>
          <w:b/>
          <w:bCs/>
        </w:rPr>
        <w:t>[</w:t>
      </w:r>
      <w:r w:rsidRPr="00FF130D">
        <w:t>f.</w:t>
      </w:r>
      <w:r w:rsidRPr="00FF130D">
        <w:tab/>
        <w:t>As used in this section, “labor organization” means a labor organization that is the collective bargaining representative of not less than 1,000 employees in the State of New Jersey that serve in similar classifications or provide similar services as those provided by the employees performing the contract for the Department of Human Services or the Department of Children and Families.</w:t>
      </w:r>
      <w:r w:rsidRPr="007D78D9">
        <w:rPr>
          <w:rFonts w:ascii="Albertus Extra Bold" w:hAnsi="Albertus Extra Bold"/>
          <w:b/>
          <w:bCs/>
        </w:rPr>
        <w:t>]</w:t>
      </w:r>
      <w:r w:rsidRPr="007D78D9">
        <w:rPr>
          <w:rFonts w:ascii="Albertus Extra Bold" w:hAnsi="Albertus Extra Bold"/>
          <w:b/>
          <w:bCs/>
          <w:vertAlign w:val="superscript"/>
        </w:rPr>
        <w:t>1</w:t>
      </w:r>
    </w:p>
    <w:p w14:paraId="4F3D6731" w14:textId="77777777" w:rsidR="00150768" w:rsidRDefault="00150768" w:rsidP="00B65BE8"/>
    <w:p w14:paraId="074962F7" w14:textId="77777777" w:rsidR="008E3D8B" w:rsidRPr="00784E64" w:rsidRDefault="008E3D8B" w:rsidP="008E3D8B">
      <w:pPr>
        <w:rPr>
          <w:b/>
          <w:bCs/>
          <w:vertAlign w:val="superscript"/>
        </w:rPr>
      </w:pPr>
      <w:r w:rsidRPr="00FF130D">
        <w:tab/>
        <w:t>3.</w:t>
      </w:r>
      <w:r w:rsidRPr="00FF130D">
        <w:tab/>
        <w:t xml:space="preserve">a.  A contract entered into or renewed after the effective date of this act for the services described in </w:t>
      </w:r>
      <w:r w:rsidRPr="00065E2D">
        <w:rPr>
          <w:rFonts w:ascii="Albertus Extra Bold" w:hAnsi="Albertus Extra Bold"/>
          <w:b/>
          <w:bCs/>
          <w:vertAlign w:val="superscript"/>
        </w:rPr>
        <w:t>1</w:t>
      </w:r>
      <w:r w:rsidRPr="00065E2D">
        <w:rPr>
          <w:rFonts w:ascii="Albertus Extra Bold" w:hAnsi="Albertus Extra Bold"/>
          <w:b/>
          <w:bCs/>
        </w:rPr>
        <w:t>[</w:t>
      </w:r>
      <w:r w:rsidRPr="00FF130D">
        <w:t>subsection a. of</w:t>
      </w:r>
      <w:r w:rsidRPr="00065E2D">
        <w:rPr>
          <w:rFonts w:ascii="Albertus Extra Bold" w:hAnsi="Albertus Extra Bold"/>
          <w:b/>
          <w:bCs/>
        </w:rPr>
        <w:t>]</w:t>
      </w:r>
      <w:r w:rsidRPr="00065E2D">
        <w:rPr>
          <w:rFonts w:ascii="Albertus Extra Bold" w:hAnsi="Albertus Extra Bold"/>
          <w:b/>
          <w:bCs/>
          <w:vertAlign w:val="superscript"/>
        </w:rPr>
        <w:t>1</w:t>
      </w:r>
      <w:r w:rsidRPr="00FF130D">
        <w:t xml:space="preserve"> section 2 of this act shall contain a COVID-19 </w:t>
      </w:r>
      <w:r w:rsidRPr="00065E2D">
        <w:rPr>
          <w:rFonts w:ascii="Albertus Extra Bold" w:hAnsi="Albertus Extra Bold"/>
          <w:b/>
          <w:bCs/>
          <w:vertAlign w:val="superscript"/>
        </w:rPr>
        <w:t>1</w:t>
      </w:r>
      <w:r w:rsidRPr="00065E2D">
        <w:rPr>
          <w:rFonts w:ascii="Albertus Extra Bold" w:hAnsi="Albertus Extra Bold"/>
          <w:b/>
          <w:bCs/>
        </w:rPr>
        <w:t>[</w:t>
      </w:r>
      <w:r w:rsidRPr="00FF130D">
        <w:t>containment and mitigation</w:t>
      </w:r>
      <w:r w:rsidRPr="00065E2D">
        <w:rPr>
          <w:rFonts w:ascii="Albertus Extra Bold" w:hAnsi="Albertus Extra Bold"/>
          <w:b/>
          <w:bCs/>
        </w:rPr>
        <w:t>]</w:t>
      </w:r>
      <w:r>
        <w:t xml:space="preserve"> </w:t>
      </w:r>
      <w:r>
        <w:rPr>
          <w:u w:val="single"/>
        </w:rPr>
        <w:t>health and safety</w:t>
      </w:r>
      <w:r w:rsidRPr="00065E2D">
        <w:rPr>
          <w:rFonts w:ascii="Albertus Extra Bold" w:hAnsi="Albertus Extra Bold"/>
          <w:b/>
          <w:bCs/>
          <w:vertAlign w:val="superscript"/>
        </w:rPr>
        <w:t>1</w:t>
      </w:r>
      <w:r w:rsidRPr="00FF130D">
        <w:t xml:space="preserve"> commitment that</w:t>
      </w:r>
      <w:r>
        <w:t xml:space="preserve"> </w:t>
      </w:r>
      <w:r w:rsidRPr="00331C26">
        <w:rPr>
          <w:rFonts w:ascii="Albertus Extra Bold" w:hAnsi="Albertus Extra Bold"/>
          <w:b/>
          <w:bCs/>
          <w:vertAlign w:val="superscript"/>
        </w:rPr>
        <w:t>1</w:t>
      </w:r>
      <w:r w:rsidRPr="0060136E">
        <w:rPr>
          <w:u w:val="single"/>
        </w:rPr>
        <w:t>requires the covered provider to make a good faith effort to comply with minimum health and safety protocols issued by the applicable department to</w:t>
      </w:r>
      <w:r w:rsidRPr="0060136E">
        <w:rPr>
          <w:rFonts w:ascii="Albertus Extra Bold" w:hAnsi="Albertus Extra Bold"/>
          <w:b/>
          <w:bCs/>
          <w:vertAlign w:val="superscript"/>
        </w:rPr>
        <w:t>1</w:t>
      </w:r>
      <w:r w:rsidRPr="00FF130D">
        <w:t xml:space="preserve"> adequately </w:t>
      </w:r>
      <w:r w:rsidRPr="0060136E">
        <w:rPr>
          <w:rFonts w:ascii="Albertus Extra Bold" w:hAnsi="Albertus Extra Bold"/>
          <w:b/>
          <w:bCs/>
          <w:vertAlign w:val="superscript"/>
        </w:rPr>
        <w:t>1</w:t>
      </w:r>
      <w:r w:rsidRPr="0060136E">
        <w:rPr>
          <w:rFonts w:ascii="Albertus Extra Bold" w:hAnsi="Albertus Extra Bold"/>
          <w:b/>
          <w:bCs/>
        </w:rPr>
        <w:t>[</w:t>
      </w:r>
      <w:r w:rsidRPr="00FF130D">
        <w:t>ensures</w:t>
      </w:r>
      <w:r w:rsidRPr="0060136E">
        <w:rPr>
          <w:rFonts w:ascii="Albertus Extra Bold" w:hAnsi="Albertus Extra Bold"/>
          <w:b/>
          <w:bCs/>
        </w:rPr>
        <w:t>]</w:t>
      </w:r>
      <w:r>
        <w:t xml:space="preserve"> </w:t>
      </w:r>
      <w:r>
        <w:rPr>
          <w:u w:val="single"/>
        </w:rPr>
        <w:t>ensure</w:t>
      </w:r>
      <w:r w:rsidRPr="0060136E">
        <w:rPr>
          <w:rFonts w:ascii="Albertus Extra Bold" w:hAnsi="Albertus Extra Bold"/>
          <w:b/>
          <w:bCs/>
          <w:vertAlign w:val="superscript"/>
        </w:rPr>
        <w:t>1</w:t>
      </w:r>
      <w:r w:rsidRPr="00FF130D">
        <w:t xml:space="preserve"> the safety of the </w:t>
      </w:r>
      <w:r w:rsidRPr="0060136E">
        <w:rPr>
          <w:rFonts w:ascii="Albertus Extra Bold" w:hAnsi="Albertus Extra Bold"/>
          <w:b/>
          <w:bCs/>
          <w:vertAlign w:val="superscript"/>
        </w:rPr>
        <w:t>1</w:t>
      </w:r>
      <w:r w:rsidRPr="0060136E">
        <w:rPr>
          <w:rFonts w:ascii="Albertus Extra Bold" w:hAnsi="Albertus Extra Bold"/>
          <w:b/>
          <w:bCs/>
        </w:rPr>
        <w:t>[</w:t>
      </w:r>
      <w:r w:rsidRPr="00FF130D">
        <w:t>contractors’</w:t>
      </w:r>
      <w:r w:rsidRPr="0060136E">
        <w:rPr>
          <w:rFonts w:ascii="Albertus Extra Bold" w:hAnsi="Albertus Extra Bold"/>
          <w:b/>
          <w:bCs/>
        </w:rPr>
        <w:t>]</w:t>
      </w:r>
      <w:r>
        <w:t xml:space="preserve"> </w:t>
      </w:r>
      <w:r>
        <w:rPr>
          <w:u w:val="single"/>
        </w:rPr>
        <w:t>covered providers’</w:t>
      </w:r>
      <w:r w:rsidRPr="0060136E">
        <w:rPr>
          <w:rFonts w:ascii="Albertus Extra Bold" w:hAnsi="Albertus Extra Bold"/>
          <w:b/>
          <w:bCs/>
          <w:vertAlign w:val="superscript"/>
        </w:rPr>
        <w:t>1</w:t>
      </w:r>
      <w:r w:rsidRPr="00FF130D">
        <w:t xml:space="preserve"> employees, </w:t>
      </w:r>
      <w:r w:rsidRPr="007609BA">
        <w:rPr>
          <w:rFonts w:ascii="Albertus Extra Bold" w:hAnsi="Albertus Extra Bold"/>
          <w:b/>
          <w:bCs/>
          <w:vertAlign w:val="superscript"/>
        </w:rPr>
        <w:t>1</w:t>
      </w:r>
      <w:r>
        <w:rPr>
          <w:u w:val="single"/>
        </w:rPr>
        <w:t>and</w:t>
      </w:r>
      <w:r w:rsidRPr="009170FB">
        <w:rPr>
          <w:rFonts w:ascii="Albertus Extra Bold" w:hAnsi="Albertus Extra Bold"/>
          <w:b/>
          <w:bCs/>
          <w:vertAlign w:val="superscript"/>
        </w:rPr>
        <w:t>1</w:t>
      </w:r>
      <w:r>
        <w:t xml:space="preserve"> </w:t>
      </w:r>
      <w:r w:rsidRPr="00FF130D">
        <w:t>service recipients</w:t>
      </w:r>
      <w:r>
        <w:t xml:space="preserve"> </w:t>
      </w:r>
      <w:r w:rsidRPr="00784E64">
        <w:rPr>
          <w:rFonts w:ascii="Albertus Extra Bold" w:hAnsi="Albertus Extra Bold"/>
          <w:b/>
          <w:bCs/>
          <w:vertAlign w:val="superscript"/>
        </w:rPr>
        <w:t>1</w:t>
      </w:r>
      <w:r w:rsidRPr="00784E64">
        <w:rPr>
          <w:rFonts w:ascii="Albertus Extra Bold" w:hAnsi="Albertus Extra Bold"/>
          <w:b/>
          <w:bCs/>
        </w:rPr>
        <w:t>[</w:t>
      </w:r>
      <w:r w:rsidRPr="00FF130D">
        <w:t>, and surrounding community.  The</w:t>
      </w:r>
      <w:r w:rsidRPr="00784E64">
        <w:rPr>
          <w:rFonts w:ascii="Albertus Extra Bold" w:hAnsi="Albertus Extra Bold"/>
          <w:b/>
          <w:bCs/>
        </w:rPr>
        <w:t>]</w:t>
      </w:r>
      <w:r w:rsidRPr="00FF130D">
        <w:t xml:space="preserve"> </w:t>
      </w:r>
      <w:r>
        <w:rPr>
          <w:u w:val="single"/>
        </w:rPr>
        <w:t>.</w:t>
      </w:r>
      <w:r w:rsidRPr="00784E64">
        <w:rPr>
          <w:rFonts w:ascii="Albertus Extra Bold" w:hAnsi="Albertus Extra Bold"/>
          <w:b/>
          <w:bCs/>
          <w:vertAlign w:val="superscript"/>
        </w:rPr>
        <w:t>1</w:t>
      </w:r>
      <w:r>
        <w:t xml:space="preserve"> </w:t>
      </w:r>
      <w:r w:rsidRPr="00784E64">
        <w:rPr>
          <w:rFonts w:ascii="Albertus Extra Bold" w:hAnsi="Albertus Extra Bold"/>
          <w:b/>
          <w:bCs/>
          <w:vertAlign w:val="superscript"/>
        </w:rPr>
        <w:t>1</w:t>
      </w:r>
      <w:r w:rsidRPr="00784E64">
        <w:rPr>
          <w:rFonts w:ascii="Albertus Extra Bold" w:hAnsi="Albertus Extra Bold"/>
          <w:b/>
          <w:bCs/>
        </w:rPr>
        <w:t>[</w:t>
      </w:r>
      <w:r w:rsidRPr="00FF130D">
        <w:t>commissioners of the departments shall jointly adopt a model written commitment to which contractors shall ascribe to provide for regular COVID-19 testing, training, reporting, and the provision of adequate personal protective equipment.</w:t>
      </w:r>
      <w:r w:rsidRPr="00784E64">
        <w:rPr>
          <w:rFonts w:ascii="Albertus Extra Bold" w:hAnsi="Albertus Extra Bold"/>
          <w:b/>
          <w:bCs/>
        </w:rPr>
        <w:t>]</w:t>
      </w:r>
      <w:r w:rsidRPr="00784E64">
        <w:rPr>
          <w:rFonts w:ascii="Albertus Extra Bold" w:hAnsi="Albertus Extra Bold"/>
          <w:b/>
          <w:bCs/>
          <w:vertAlign w:val="superscript"/>
        </w:rPr>
        <w:t>1</w:t>
      </w:r>
    </w:p>
    <w:p w14:paraId="2566533B" w14:textId="77777777" w:rsidR="008E3D8B" w:rsidRPr="00AA7DD6" w:rsidRDefault="008E3D8B" w:rsidP="008E3D8B">
      <w:pPr>
        <w:rPr>
          <w:b/>
          <w:bCs/>
          <w:vertAlign w:val="superscript"/>
        </w:rPr>
      </w:pPr>
      <w:r w:rsidRPr="00FF130D">
        <w:tab/>
        <w:t>b.</w:t>
      </w:r>
      <w:r w:rsidRPr="00FF130D">
        <w:tab/>
        <w:t xml:space="preserve">Prior to awarding or renewing any contract subject to this section, the departments shall </w:t>
      </w:r>
      <w:r w:rsidRPr="00AA7DD6">
        <w:rPr>
          <w:rFonts w:ascii="Albertus Extra Bold" w:hAnsi="Albertus Extra Bold"/>
          <w:b/>
          <w:bCs/>
          <w:vertAlign w:val="superscript"/>
        </w:rPr>
        <w:t>1</w:t>
      </w:r>
      <w:r w:rsidRPr="00AA7DD6">
        <w:rPr>
          <w:rFonts w:ascii="Albertus Extra Bold" w:hAnsi="Albertus Extra Bold"/>
          <w:b/>
          <w:bCs/>
        </w:rPr>
        <w:t>[</w:t>
      </w:r>
      <w:r w:rsidRPr="00FF130D">
        <w:t>determine:</w:t>
      </w:r>
      <w:r w:rsidRPr="00AA7DD6">
        <w:rPr>
          <w:rFonts w:ascii="Albertus Extra Bold" w:hAnsi="Albertus Extra Bold"/>
          <w:b/>
          <w:bCs/>
        </w:rPr>
        <w:t>]</w:t>
      </w:r>
      <w:r>
        <w:t xml:space="preserve"> </w:t>
      </w:r>
      <w:r w:rsidRPr="00AA7DD6">
        <w:rPr>
          <w:u w:val="single"/>
        </w:rPr>
        <w:t>collect information as to whether there have been</w:t>
      </w:r>
      <w:r w:rsidRPr="00AA7DD6">
        <w:rPr>
          <w:rFonts w:ascii="Albertus Extra Bold" w:hAnsi="Albertus Extra Bold"/>
          <w:b/>
          <w:bCs/>
          <w:vertAlign w:val="superscript"/>
        </w:rPr>
        <w:t>1</w:t>
      </w:r>
    </w:p>
    <w:p w14:paraId="6193CC6F" w14:textId="05DC53DF" w:rsidR="008E3D8B" w:rsidRPr="00AA7DD6" w:rsidRDefault="008E3D8B" w:rsidP="008E3D8B">
      <w:pPr>
        <w:rPr>
          <w:b/>
          <w:bCs/>
          <w:vertAlign w:val="superscript"/>
        </w:rPr>
      </w:pPr>
      <w:r w:rsidRPr="00FF130D">
        <w:tab/>
      </w:r>
      <w:r w:rsidRPr="00AA7DD6">
        <w:rPr>
          <w:rFonts w:ascii="Albertus Extra Bold" w:hAnsi="Albertus Extra Bold"/>
          <w:b/>
          <w:bCs/>
          <w:vertAlign w:val="superscript"/>
        </w:rPr>
        <w:t>1</w:t>
      </w:r>
      <w:r w:rsidRPr="00AA7DD6">
        <w:rPr>
          <w:rFonts w:ascii="Albertus Extra Bold" w:hAnsi="Albertus Extra Bold"/>
          <w:b/>
          <w:bCs/>
        </w:rPr>
        <w:t>[</w:t>
      </w:r>
      <w:r w:rsidR="005E6716">
        <w:t xml:space="preserve">(1)  </w:t>
      </w:r>
      <w:r w:rsidRPr="00FF130D">
        <w:t>whether there has been any prior disruption in the provision of the services provided by the contractor; and</w:t>
      </w:r>
      <w:r w:rsidRPr="00AA7DD6">
        <w:rPr>
          <w:rFonts w:ascii="Albertus Extra Bold" w:hAnsi="Albertus Extra Bold"/>
          <w:b/>
          <w:bCs/>
        </w:rPr>
        <w:t>]</w:t>
      </w:r>
      <w:r w:rsidRPr="00AA7DD6">
        <w:rPr>
          <w:rFonts w:ascii="Albertus Extra Bold" w:hAnsi="Albertus Extra Bold"/>
          <w:b/>
          <w:bCs/>
          <w:vertAlign w:val="superscript"/>
        </w:rPr>
        <w:t>1</w:t>
      </w:r>
    </w:p>
    <w:p w14:paraId="7E169B88" w14:textId="77777777" w:rsidR="008E3D8B" w:rsidRPr="00FF130D" w:rsidRDefault="008E3D8B" w:rsidP="008E3D8B">
      <w:r w:rsidRPr="00FF130D">
        <w:tab/>
      </w:r>
      <w:r w:rsidRPr="00AA7DD6">
        <w:rPr>
          <w:rFonts w:ascii="Albertus Extra Bold" w:hAnsi="Albertus Extra Bold"/>
          <w:b/>
          <w:bCs/>
          <w:vertAlign w:val="superscript"/>
        </w:rPr>
        <w:t>1</w:t>
      </w:r>
      <w:r w:rsidRPr="00AA7DD6">
        <w:rPr>
          <w:rFonts w:ascii="Albertus Extra Bold" w:hAnsi="Albertus Extra Bold"/>
          <w:b/>
          <w:bCs/>
        </w:rPr>
        <w:t>[</w:t>
      </w:r>
      <w:r w:rsidRPr="00FF130D">
        <w:t>(2)</w:t>
      </w:r>
      <w:r w:rsidRPr="00AA7DD6">
        <w:rPr>
          <w:rFonts w:ascii="Albertus Extra Bold" w:hAnsi="Albertus Extra Bold"/>
          <w:b/>
          <w:bCs/>
        </w:rPr>
        <w:t>]</w:t>
      </w:r>
      <w:r w:rsidRPr="00AA7DD6">
        <w:rPr>
          <w:rFonts w:ascii="Albertus Extra Bold" w:hAnsi="Albertus Extra Bold"/>
          <w:b/>
          <w:bCs/>
          <w:vertAlign w:val="superscript"/>
        </w:rPr>
        <w:t>1</w:t>
      </w:r>
      <w:r w:rsidRPr="00FF130D">
        <w:t xml:space="preserve"> any prior failures to </w:t>
      </w:r>
      <w:r w:rsidRPr="000F7619">
        <w:rPr>
          <w:rFonts w:ascii="Albertus Extra Bold" w:hAnsi="Albertus Extra Bold"/>
          <w:b/>
          <w:bCs/>
          <w:vertAlign w:val="superscript"/>
        </w:rPr>
        <w:t>1</w:t>
      </w:r>
      <w:r>
        <w:rPr>
          <w:u w:val="single"/>
        </w:rPr>
        <w:t>demonstrate a good faith effort to</w:t>
      </w:r>
      <w:r w:rsidRPr="00F607CE">
        <w:rPr>
          <w:rFonts w:ascii="Albertus Extra Bold" w:hAnsi="Albertus Extra Bold"/>
          <w:b/>
          <w:bCs/>
          <w:vertAlign w:val="superscript"/>
        </w:rPr>
        <w:t>1</w:t>
      </w:r>
      <w:r>
        <w:t xml:space="preserve"> </w:t>
      </w:r>
      <w:r w:rsidRPr="00FF130D">
        <w:t xml:space="preserve">contain, limit, or mitigate the spread of COVID-19 among the </w:t>
      </w:r>
      <w:r w:rsidRPr="008171F2">
        <w:rPr>
          <w:rFonts w:ascii="Albertus Extra Bold" w:hAnsi="Albertus Extra Bold"/>
          <w:b/>
          <w:bCs/>
          <w:vertAlign w:val="superscript"/>
        </w:rPr>
        <w:t>1</w:t>
      </w:r>
      <w:r w:rsidRPr="008171F2">
        <w:rPr>
          <w:rFonts w:ascii="Albertus Extra Bold" w:hAnsi="Albertus Extra Bold"/>
          <w:b/>
          <w:bCs/>
        </w:rPr>
        <w:t>[</w:t>
      </w:r>
      <w:r w:rsidRPr="00FF130D">
        <w:t>contractor’s</w:t>
      </w:r>
      <w:r w:rsidRPr="008171F2">
        <w:rPr>
          <w:rFonts w:ascii="Albertus Extra Bold" w:hAnsi="Albertus Extra Bold"/>
          <w:b/>
          <w:bCs/>
        </w:rPr>
        <w:t>]</w:t>
      </w:r>
      <w:r>
        <w:t xml:space="preserve"> </w:t>
      </w:r>
      <w:r>
        <w:rPr>
          <w:u w:val="single"/>
        </w:rPr>
        <w:t>covered provider’s</w:t>
      </w:r>
      <w:r w:rsidRPr="008171F2">
        <w:rPr>
          <w:rFonts w:ascii="Albertus Extra Bold" w:hAnsi="Albertus Extra Bold"/>
          <w:b/>
          <w:bCs/>
          <w:vertAlign w:val="superscript"/>
        </w:rPr>
        <w:t>1</w:t>
      </w:r>
      <w:r w:rsidRPr="00FF130D">
        <w:t xml:space="preserve"> employees or service recipients.</w:t>
      </w:r>
    </w:p>
    <w:p w14:paraId="4459AF1C" w14:textId="77777777" w:rsidR="008E3D8B" w:rsidRPr="000C540E" w:rsidRDefault="008E3D8B" w:rsidP="008E3D8B">
      <w:pPr>
        <w:rPr>
          <w:b/>
          <w:bCs/>
          <w:vertAlign w:val="superscript"/>
        </w:rPr>
      </w:pPr>
      <w:r w:rsidRPr="00FF130D">
        <w:tab/>
        <w:t xml:space="preserve">The </w:t>
      </w:r>
      <w:r w:rsidRPr="008171F2">
        <w:rPr>
          <w:rFonts w:ascii="Albertus Extra Bold" w:hAnsi="Albertus Extra Bold"/>
          <w:b/>
          <w:bCs/>
          <w:vertAlign w:val="superscript"/>
        </w:rPr>
        <w:t>1</w:t>
      </w:r>
      <w:r w:rsidRPr="008171F2">
        <w:rPr>
          <w:rFonts w:ascii="Albertus Extra Bold" w:hAnsi="Albertus Extra Bold"/>
          <w:b/>
          <w:bCs/>
        </w:rPr>
        <w:t>[</w:t>
      </w:r>
      <w:r w:rsidRPr="00FF130D">
        <w:t>commissioners</w:t>
      </w:r>
      <w:r w:rsidRPr="008171F2">
        <w:rPr>
          <w:rFonts w:ascii="Albertus Extra Bold" w:hAnsi="Albertus Extra Bold"/>
          <w:b/>
          <w:bCs/>
        </w:rPr>
        <w:t>]</w:t>
      </w:r>
      <w:r w:rsidRPr="00FF130D">
        <w:t xml:space="preserve"> </w:t>
      </w:r>
      <w:r>
        <w:rPr>
          <w:u w:val="single"/>
        </w:rPr>
        <w:t>commissioner of the applicable department</w:t>
      </w:r>
      <w:r w:rsidRPr="008171F2">
        <w:rPr>
          <w:rFonts w:ascii="Albertus Extra Bold" w:hAnsi="Albertus Extra Bold"/>
          <w:b/>
          <w:bCs/>
          <w:vertAlign w:val="superscript"/>
        </w:rPr>
        <w:t>1</w:t>
      </w:r>
      <w:r>
        <w:t xml:space="preserve"> </w:t>
      </w:r>
      <w:r w:rsidRPr="00FF130D">
        <w:t xml:space="preserve">shall consider any submissions by any interested party in making the determination, that shall be provided to the </w:t>
      </w:r>
      <w:r w:rsidRPr="00A25036">
        <w:rPr>
          <w:rFonts w:ascii="Albertus Extra Bold" w:hAnsi="Albertus Extra Bold"/>
          <w:b/>
          <w:bCs/>
          <w:vertAlign w:val="superscript"/>
        </w:rPr>
        <w:t>1</w:t>
      </w:r>
      <w:r w:rsidRPr="00A25036">
        <w:rPr>
          <w:rFonts w:ascii="Albertus Extra Bold" w:hAnsi="Albertus Extra Bold"/>
          <w:b/>
          <w:bCs/>
        </w:rPr>
        <w:t>[</w:t>
      </w:r>
      <w:r w:rsidRPr="00FF130D">
        <w:t>contractor</w:t>
      </w:r>
      <w:r w:rsidRPr="00A25036">
        <w:rPr>
          <w:rFonts w:ascii="Albertus Extra Bold" w:hAnsi="Albertus Extra Bold"/>
          <w:b/>
          <w:bCs/>
        </w:rPr>
        <w:t>]</w:t>
      </w:r>
      <w:r>
        <w:t xml:space="preserve"> </w:t>
      </w:r>
      <w:r>
        <w:rPr>
          <w:u w:val="single"/>
        </w:rPr>
        <w:t>covered provider</w:t>
      </w:r>
      <w:r w:rsidRPr="00A25036">
        <w:rPr>
          <w:rFonts w:ascii="Albertus Extra Bold" w:hAnsi="Albertus Extra Bold"/>
          <w:b/>
          <w:bCs/>
          <w:vertAlign w:val="superscript"/>
        </w:rPr>
        <w:t>1</w:t>
      </w:r>
      <w:r w:rsidRPr="00FF130D">
        <w:t xml:space="preserve"> for response.  </w:t>
      </w:r>
      <w:r w:rsidRPr="000C540E">
        <w:rPr>
          <w:rFonts w:ascii="Albertus Extra Bold" w:hAnsi="Albertus Extra Bold"/>
          <w:b/>
          <w:bCs/>
          <w:vertAlign w:val="superscript"/>
        </w:rPr>
        <w:t>1</w:t>
      </w:r>
      <w:r w:rsidRPr="000C540E">
        <w:rPr>
          <w:rFonts w:ascii="Albertus Extra Bold" w:hAnsi="Albertus Extra Bold"/>
          <w:b/>
          <w:bCs/>
        </w:rPr>
        <w:t>[</w:t>
      </w:r>
      <w:r w:rsidRPr="00FF130D">
        <w:t>If a dispute exists with respect to</w:t>
      </w:r>
      <w:r w:rsidRPr="000C540E">
        <w:rPr>
          <w:rFonts w:ascii="Albertus Extra Bold" w:hAnsi="Albertus Extra Bold"/>
          <w:b/>
          <w:bCs/>
        </w:rPr>
        <w:t>]</w:t>
      </w:r>
      <w:r w:rsidRPr="00FF130D">
        <w:t xml:space="preserve"> </w:t>
      </w:r>
      <w:r w:rsidRPr="000C540E">
        <w:rPr>
          <w:u w:val="single"/>
        </w:rPr>
        <w:t>The commissioner of the applicable department shall take into account such failures prior to awarding or renewing any contract and, at a minimum, require submission of a corrective plan to contain, limit, or mitigate the spread of COVID-19 cases.</w:t>
      </w:r>
      <w:r>
        <w:rPr>
          <w:u w:val="single"/>
        </w:rPr>
        <w:t xml:space="preserve"> </w:t>
      </w:r>
      <w:r w:rsidRPr="000C540E">
        <w:rPr>
          <w:u w:val="single"/>
        </w:rPr>
        <w:t xml:space="preserve"> Should a provider fail to implement a plan or repeatedly fail to demonstrate good faith efforts to contain, limit, or mitigate the spread of COVID</w:t>
      </w:r>
      <w:r w:rsidRPr="000C540E">
        <w:rPr>
          <w:u w:val="single"/>
        </w:rPr>
        <w:noBreakHyphen/>
        <w:t>19, the commissioner shall take action, including financial penalties or cancellation or non-renewal of the contract.</w:t>
      </w:r>
      <w:r w:rsidRPr="000C540E">
        <w:rPr>
          <w:rFonts w:ascii="Albertus Extra Bold" w:hAnsi="Albertus Extra Bold"/>
          <w:b/>
          <w:bCs/>
          <w:vertAlign w:val="superscript"/>
        </w:rPr>
        <w:t>1</w:t>
      </w:r>
      <w:r>
        <w:t xml:space="preserve"> </w:t>
      </w:r>
      <w:r w:rsidRPr="000C540E">
        <w:rPr>
          <w:rFonts w:ascii="Albertus Extra Bold" w:hAnsi="Albertus Extra Bold"/>
          <w:b/>
          <w:bCs/>
          <w:vertAlign w:val="superscript"/>
        </w:rPr>
        <w:t>1</w:t>
      </w:r>
      <w:r w:rsidRPr="000C540E">
        <w:rPr>
          <w:rFonts w:ascii="Albertus Extra Bold" w:hAnsi="Albertus Extra Bold"/>
          <w:b/>
          <w:bCs/>
        </w:rPr>
        <w:t>[</w:t>
      </w:r>
      <w:r w:rsidRPr="00FF130D">
        <w:t>either condition, the commissioners shall refer the matter to the State Treasurer to conduct a hearing and make findings of fact which shall be considered by the commissioners in making any award or renewal.</w:t>
      </w:r>
      <w:r w:rsidRPr="000C540E">
        <w:rPr>
          <w:rFonts w:ascii="Albertus Extra Bold" w:hAnsi="Albertus Extra Bold"/>
          <w:b/>
          <w:bCs/>
        </w:rPr>
        <w:t>]</w:t>
      </w:r>
      <w:r w:rsidRPr="000C540E">
        <w:rPr>
          <w:rFonts w:ascii="Albertus Extra Bold" w:hAnsi="Albertus Extra Bold"/>
          <w:b/>
          <w:bCs/>
          <w:vertAlign w:val="superscript"/>
        </w:rPr>
        <w:t>1</w:t>
      </w:r>
    </w:p>
    <w:p w14:paraId="3D5A3538" w14:textId="77777777" w:rsidR="00EF7E98" w:rsidRDefault="00EF7E98" w:rsidP="00EF7E98"/>
    <w:p w14:paraId="6A11B92A" w14:textId="1BA9F86A" w:rsidR="00EF7E98" w:rsidRPr="00317AB4" w:rsidRDefault="00EF7E98" w:rsidP="00EF7E98">
      <w:pPr>
        <w:rPr>
          <w:u w:val="single"/>
        </w:rPr>
      </w:pPr>
      <w:r>
        <w:tab/>
      </w:r>
      <w:r w:rsidRPr="00317AB4">
        <w:rPr>
          <w:rFonts w:ascii="Albertus Extra Bold" w:hAnsi="Albertus Extra Bold"/>
          <w:b/>
          <w:bCs/>
          <w:vertAlign w:val="superscript"/>
        </w:rPr>
        <w:t>1</w:t>
      </w:r>
      <w:r w:rsidR="00F03EF5">
        <w:rPr>
          <w:u w:val="single"/>
        </w:rPr>
        <w:t>4.</w:t>
      </w:r>
      <w:r w:rsidR="00F03EF5">
        <w:rPr>
          <w:u w:val="single"/>
        </w:rPr>
        <w:tab/>
      </w:r>
      <w:r w:rsidRPr="00317AB4">
        <w:rPr>
          <w:u w:val="single"/>
        </w:rPr>
        <w:t>As used in this act:</w:t>
      </w:r>
    </w:p>
    <w:p w14:paraId="44F980E9" w14:textId="77777777" w:rsidR="00EF7E98" w:rsidRPr="00317AB4" w:rsidRDefault="00EF7E98" w:rsidP="00EF7E98">
      <w:pPr>
        <w:rPr>
          <w:u w:val="single"/>
        </w:rPr>
      </w:pPr>
      <w:r w:rsidRPr="001E1C7E">
        <w:tab/>
      </w:r>
      <w:r w:rsidRPr="00317AB4">
        <w:rPr>
          <w:u w:val="single"/>
        </w:rPr>
        <w:t>‘Covered employee’ means any regular full-time or regular part-time employee who principally works for a covered provider and who performs or provides any type of work to deliver those services to individuals who are eligible to receive those services.</w:t>
      </w:r>
    </w:p>
    <w:p w14:paraId="32D33FC4" w14:textId="77777777" w:rsidR="00EF7E98" w:rsidRPr="00317AB4" w:rsidRDefault="00EF7E98" w:rsidP="00EF7E98">
      <w:pPr>
        <w:rPr>
          <w:u w:val="single"/>
        </w:rPr>
      </w:pPr>
      <w:r w:rsidRPr="001E1C7E">
        <w:tab/>
      </w:r>
      <w:r w:rsidRPr="00317AB4">
        <w:rPr>
          <w:u w:val="single"/>
        </w:rPr>
        <w:t>‘Covered provider’ means the entity entering into a Contract with the Department of Human Services’ Division of Mental Health and Addiction Services or the Department of Children and Families to provide mental health, behavioral health, and addiction services that employs more than 10 covered employees.</w:t>
      </w:r>
    </w:p>
    <w:p w14:paraId="6D4202DD" w14:textId="77777777" w:rsidR="00EF7E98" w:rsidRPr="00317AB4" w:rsidRDefault="00EF7E98" w:rsidP="00EF7E98">
      <w:pPr>
        <w:rPr>
          <w:u w:val="single"/>
        </w:rPr>
      </w:pPr>
      <w:r w:rsidRPr="001E1C7E">
        <w:tab/>
      </w:r>
      <w:r w:rsidRPr="00317AB4">
        <w:rPr>
          <w:u w:val="single"/>
        </w:rPr>
        <w:t>‘Labor harmony agreement’ means an agreement between a provider and any exclusive representative labor organization which represents or seeks to represent employees performing services under contract with the Department of Human Services’ Division of Mental Health and Addiction Services or the Department of Children and Families that contains a provision prohibiting economic or industrial action on the part of all parties and includes a process for the resolution of disputes between them.</w:t>
      </w:r>
    </w:p>
    <w:p w14:paraId="1874CF20" w14:textId="77777777" w:rsidR="00EF7E98" w:rsidRPr="00457296" w:rsidRDefault="00EF7E98" w:rsidP="00EF7E98">
      <w:pPr>
        <w:rPr>
          <w:b/>
          <w:bCs/>
          <w:vertAlign w:val="superscript"/>
        </w:rPr>
      </w:pPr>
      <w:r w:rsidRPr="001E1C7E">
        <w:tab/>
      </w:r>
      <w:r w:rsidRPr="00317AB4">
        <w:rPr>
          <w:u w:val="single"/>
        </w:rPr>
        <w:t>‘Labor organization’ means a labor organization that is the collective bargaining representative of not less than 1,000 employees in the State of New Jersey that serve in similar classifications or provide similar services as those provided by the employees performing the contract for the Department of Human Services’ Division of Mental Health and Addiction Services or the Department of Children and Families contemplated in this act.</w:t>
      </w:r>
      <w:r w:rsidRPr="00317AB4">
        <w:rPr>
          <w:rFonts w:ascii="Albertus Extra Bold" w:hAnsi="Albertus Extra Bold"/>
          <w:b/>
          <w:bCs/>
          <w:vertAlign w:val="superscript"/>
        </w:rPr>
        <w:t>1</w:t>
      </w:r>
    </w:p>
    <w:p w14:paraId="74B5D44B" w14:textId="77777777" w:rsidR="00C73B09" w:rsidRPr="00D71D68" w:rsidRDefault="00C73B09" w:rsidP="00686AEB"/>
    <w:p w14:paraId="0B4C6266" w14:textId="31265C37" w:rsidR="00C0258B" w:rsidRDefault="00C0258B" w:rsidP="00C0258B">
      <w:r w:rsidRPr="00FF130D">
        <w:tab/>
      </w:r>
      <w:r w:rsidRPr="00326126">
        <w:rPr>
          <w:rFonts w:ascii="Albertus Extra Bold" w:hAnsi="Albertus Extra Bold"/>
          <w:b/>
          <w:bCs/>
          <w:vertAlign w:val="superscript"/>
        </w:rPr>
        <w:t>1</w:t>
      </w:r>
      <w:r w:rsidRPr="00326126">
        <w:rPr>
          <w:rFonts w:ascii="Albertus Extra Bold" w:hAnsi="Albertus Extra Bold"/>
          <w:b/>
          <w:bCs/>
        </w:rPr>
        <w:t>[</w:t>
      </w:r>
      <w:r w:rsidRPr="00FF130D">
        <w:t>4.</w:t>
      </w:r>
      <w:r w:rsidRPr="00326126">
        <w:rPr>
          <w:rFonts w:ascii="Albertus Extra Bold" w:hAnsi="Albertus Extra Bold"/>
          <w:b/>
          <w:bCs/>
        </w:rPr>
        <w:t>]</w:t>
      </w:r>
      <w:r>
        <w:t xml:space="preserve"> </w:t>
      </w:r>
      <w:r>
        <w:rPr>
          <w:u w:val="single"/>
        </w:rPr>
        <w:t>5.</w:t>
      </w:r>
      <w:r w:rsidRPr="00326126">
        <w:rPr>
          <w:rFonts w:ascii="Albertus Extra Bold" w:hAnsi="Albertus Extra Bold"/>
          <w:b/>
          <w:bCs/>
          <w:vertAlign w:val="superscript"/>
        </w:rPr>
        <w:t>1</w:t>
      </w:r>
      <w:r w:rsidRPr="00FF130D">
        <w:tab/>
        <w:t xml:space="preserve">This act shall take effect on </w:t>
      </w:r>
      <w:r w:rsidRPr="003F5EFD">
        <w:rPr>
          <w:rFonts w:ascii="Albertus Extra Bold" w:hAnsi="Albertus Extra Bold"/>
          <w:b/>
          <w:bCs/>
          <w:vertAlign w:val="superscript"/>
        </w:rPr>
        <w:t>1</w:t>
      </w:r>
      <w:r w:rsidRPr="003F5EFD">
        <w:rPr>
          <w:rFonts w:ascii="Albertus Extra Bold" w:hAnsi="Albertus Extra Bold"/>
          <w:b/>
          <w:bCs/>
        </w:rPr>
        <w:t>[</w:t>
      </w:r>
      <w:r w:rsidRPr="00FF130D">
        <w:t>the 91st day following enactment</w:t>
      </w:r>
      <w:r w:rsidRPr="003F5EFD">
        <w:rPr>
          <w:rFonts w:ascii="Albertus Extra Bold" w:hAnsi="Albertus Extra Bold"/>
          <w:b/>
          <w:bCs/>
        </w:rPr>
        <w:t>]</w:t>
      </w:r>
      <w:r w:rsidRPr="00FF130D">
        <w:t xml:space="preserve"> </w:t>
      </w:r>
      <w:r w:rsidRPr="003F5EFD">
        <w:rPr>
          <w:u w:val="single"/>
        </w:rPr>
        <w:t>July 1, 2021 and shall apply to all contracts entered into or renewed on or after the effective date.</w:t>
      </w:r>
      <w:r w:rsidRPr="003F5EFD">
        <w:rPr>
          <w:rFonts w:ascii="Albertus Extra Bold" w:hAnsi="Albertus Extra Bold"/>
          <w:b/>
          <w:bCs/>
          <w:vertAlign w:val="superscript"/>
        </w:rPr>
        <w:t>1</w:t>
      </w:r>
      <w:r>
        <w:t xml:space="preserve"> </w:t>
      </w:r>
      <w:r w:rsidRPr="003F5EFD">
        <w:rPr>
          <w:rFonts w:ascii="Albertus Extra Bold" w:hAnsi="Albertus Extra Bold"/>
          <w:b/>
          <w:bCs/>
          <w:vertAlign w:val="superscript"/>
        </w:rPr>
        <w:t>1</w:t>
      </w:r>
      <w:r w:rsidRPr="003F5EFD">
        <w:rPr>
          <w:rFonts w:ascii="Albertus Extra Bold" w:hAnsi="Albertus Extra Bold"/>
          <w:b/>
          <w:bCs/>
        </w:rPr>
        <w:t>[</w:t>
      </w:r>
      <w:r w:rsidRPr="00FF130D">
        <w:t>and section</w:t>
      </w:r>
      <w:r w:rsidRPr="003F5EFD">
        <w:rPr>
          <w:rFonts w:ascii="Albertus Extra Bold" w:hAnsi="Albertus Extra Bold"/>
          <w:b/>
          <w:bCs/>
        </w:rPr>
        <w:t>]</w:t>
      </w:r>
      <w:r>
        <w:t xml:space="preserve"> </w:t>
      </w:r>
      <w:r>
        <w:rPr>
          <w:u w:val="single"/>
        </w:rPr>
        <w:t>Section</w:t>
      </w:r>
      <w:r w:rsidRPr="003F5EFD">
        <w:rPr>
          <w:rFonts w:ascii="Albertus Extra Bold" w:hAnsi="Albertus Extra Bold"/>
          <w:b/>
          <w:bCs/>
          <w:vertAlign w:val="superscript"/>
        </w:rPr>
        <w:t>1</w:t>
      </w:r>
      <w:r w:rsidRPr="00FF130D">
        <w:t xml:space="preserve"> 3 of this act shall expire on the 366th day following the end of the public health emergency and state of emergency declared by the Governor in Executive Order No. 103 of 2020.</w:t>
      </w:r>
    </w:p>
    <w:p w14:paraId="27AC8A91" w14:textId="2DA1D665" w:rsidR="00FB2AB5" w:rsidRDefault="00FB2AB5" w:rsidP="00C0258B"/>
    <w:p w14:paraId="34AAB789" w14:textId="39D071A2" w:rsidR="00FB2AB5" w:rsidRDefault="00FB2AB5" w:rsidP="00C0258B"/>
    <w:p w14:paraId="0CA43470" w14:textId="56597EEB" w:rsidR="00FB2AB5" w:rsidRDefault="00FB2AB5" w:rsidP="00FB2AB5">
      <w:pPr>
        <w:jc w:val="center"/>
      </w:pPr>
      <w:r>
        <w:rPr>
          <w:u w:val="single"/>
        </w:rPr>
        <w:t>                                </w:t>
      </w:r>
    </w:p>
    <w:p w14:paraId="4266E6DF" w14:textId="440763C9" w:rsidR="00FB2AB5" w:rsidRDefault="00FB2AB5" w:rsidP="00FB2AB5">
      <w:pPr>
        <w:jc w:val="center"/>
      </w:pPr>
    </w:p>
    <w:p w14:paraId="6A8BFF37" w14:textId="34D534DC" w:rsidR="00FB2AB5" w:rsidRPr="00FB2AB5" w:rsidRDefault="00FB2AB5" w:rsidP="002D0344">
      <w:r>
        <w:tab/>
        <w:t xml:space="preserve">Requires certain provisions in State contracts for delivery of publicly financed mental health, behavioral health, and addiction services. </w:t>
      </w:r>
    </w:p>
    <w:sectPr w:rsidR="00FB2AB5" w:rsidRPr="00FB2AB5" w:rsidSect="00FB2AB5">
      <w:headerReference w:type="default" r:id="rId9"/>
      <w:footerReference w:type="default" r:id="rId10"/>
      <w:type w:val="continuous"/>
      <w:pgSz w:w="12240" w:h="20160" w:code="5"/>
      <w:pgMar w:top="1440" w:right="2520" w:bottom="1872" w:left="2880" w:header="1181" w:footer="103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E6A4C" w14:textId="77777777" w:rsidR="00DC7786" w:rsidRDefault="00DC7786">
      <w:r>
        <w:separator/>
      </w:r>
    </w:p>
  </w:endnote>
  <w:endnote w:type="continuationSeparator" w:id="0">
    <w:p w14:paraId="6910651F" w14:textId="77777777" w:rsidR="00DC7786" w:rsidRDefault="00DC7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lbertusExtraBold">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35AFD" w14:textId="77777777" w:rsidR="000E3C1F" w:rsidRPr="00921C91" w:rsidRDefault="000E3C1F">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14:paraId="3B8658E7" w14:textId="77777777" w:rsidR="000E3C1F" w:rsidRPr="00921C91" w:rsidRDefault="000E3C1F">
    <w:pPr>
      <w:pStyle w:val="Footer"/>
      <w:rPr>
        <w:szCs w:val="18"/>
      </w:rPr>
    </w:pPr>
  </w:p>
  <w:p w14:paraId="2C0D6A37" w14:textId="77777777" w:rsidR="000E3C1F" w:rsidRPr="00921C91" w:rsidRDefault="000E3C1F">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14:paraId="313A9E89" w14:textId="6937C8AC" w:rsidR="000E3C1F" w:rsidRDefault="000E3C1F" w:rsidP="00686AEB">
    <w:pPr>
      <w:pStyle w:val="Footer"/>
    </w:pPr>
    <w:r>
      <w:tab/>
      <w:t>Matter enclosed in superscript numerals has been adopted as follows:</w:t>
    </w:r>
  </w:p>
  <w:p w14:paraId="2CE4CCCA" w14:textId="77777777" w:rsidR="000E3C1F" w:rsidRDefault="000E3C1F" w:rsidP="00686AEB">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Assembly amendments adopted in accordance with Governor's</w:t>
    </w:r>
  </w:p>
  <w:p w14:paraId="1C1A513E" w14:textId="403A80AF" w:rsidR="000E3C1F" w:rsidRDefault="000E3C1F" w:rsidP="00686AEB">
    <w:pPr>
      <w:pStyle w:val="Footer"/>
      <w:rPr>
        <w:rFonts w:ascii="AlbertusExtraBold" w:hAnsi="AlbertusExtraBold"/>
      </w:rPr>
    </w:pPr>
    <w:r>
      <w:rPr>
        <w:rFonts w:ascii="AlbertusExtraBold" w:hAnsi="AlbertusExtraBold"/>
      </w:rPr>
      <w:t xml:space="preserve">     recommendations December 17, 2020.</w:t>
    </w:r>
  </w:p>
  <w:p w14:paraId="5D56C0EC" w14:textId="77777777" w:rsidR="000E3C1F" w:rsidRPr="000E3C1F" w:rsidRDefault="000E3C1F" w:rsidP="00686AEB">
    <w:pPr>
      <w:pStyle w:val="Footer"/>
      <w:rPr>
        <w:rFonts w:ascii="AlbertusExtraBold" w:hAnsi="AlbertusExtraBold"/>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01EA0" w14:textId="77777777" w:rsidR="00FB2AB5" w:rsidRDefault="00FB2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D0FBF" w14:textId="77777777" w:rsidR="00DC7786" w:rsidRDefault="00DC7786">
      <w:r>
        <w:separator/>
      </w:r>
    </w:p>
  </w:footnote>
  <w:footnote w:type="continuationSeparator" w:id="0">
    <w:p w14:paraId="74BDFC5B" w14:textId="77777777" w:rsidR="00DC7786" w:rsidRDefault="00DC7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D8643" w14:textId="71FE1365" w:rsidR="00665CBC" w:rsidRDefault="00665CBC" w:rsidP="00686AEB">
    <w:pPr>
      <w:pStyle w:val="Header"/>
      <w:jc w:val="center"/>
      <w:rPr>
        <w:rStyle w:val="PageNumber"/>
      </w:rPr>
    </w:pPr>
  </w:p>
  <w:p w14:paraId="3B3AFC2F" w14:textId="3A9AD69C" w:rsidR="005E02F0" w:rsidRDefault="005E02F0" w:rsidP="005E02F0">
    <w:pPr>
      <w:pStyle w:val="bpuHeadSpon"/>
    </w:pPr>
    <w:r w:rsidRPr="005E02F0">
      <w:rPr>
        <w:rStyle w:val="bpuHeadSponChar"/>
      </w:rPr>
      <w:t>S2708</w:t>
    </w:r>
    <w:r>
      <w:t xml:space="preserve"> </w:t>
    </w:r>
    <w:r w:rsidR="000E3C1F">
      <w:t xml:space="preserve">[1R] </w:t>
    </w:r>
    <w:r>
      <w:t>SWEENEY</w:t>
    </w:r>
    <w:r w:rsidR="00862498">
      <w:t>, CODEY</w:t>
    </w:r>
  </w:p>
  <w:p w14:paraId="6E2A7FB8" w14:textId="7121F056" w:rsidR="005E02F0" w:rsidRDefault="005E02F0" w:rsidP="005E02F0">
    <w:pPr>
      <w:pStyle w:val="bpuHeadSpon"/>
    </w:pPr>
    <w:r>
      <w:fldChar w:fldCharType="begin"/>
    </w:r>
    <w:r>
      <w:instrText xml:space="preserve"> PAGE  \* MERGEFORMAT </w:instrText>
    </w:r>
    <w:r>
      <w:fldChar w:fldCharType="separate"/>
    </w:r>
    <w:r w:rsidR="00FB2AB5">
      <w:rPr>
        <w:noProof/>
      </w:rPr>
      <w:t>2</w:t>
    </w:r>
    <w:r>
      <w:fldChar w:fldCharType="end"/>
    </w:r>
  </w:p>
  <w:p w14:paraId="1CB4AFFB" w14:textId="77777777" w:rsidR="005E02F0" w:rsidRDefault="005E02F0" w:rsidP="005E02F0">
    <w:pPr>
      <w:pStyle w:val="bpuHeadSpon"/>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BFF1A" w14:textId="77777777" w:rsidR="00FB2AB5" w:rsidRDefault="00FB2AB5" w:rsidP="00686AEB">
    <w:pPr>
      <w:pStyle w:val="Header"/>
      <w:jc w:val="center"/>
      <w:rPr>
        <w:rStyle w:val="PageNumber"/>
      </w:rPr>
    </w:pPr>
  </w:p>
  <w:p w14:paraId="6F7650F9" w14:textId="300D0457" w:rsidR="00FB2AB5" w:rsidRDefault="00FB2AB5" w:rsidP="005E02F0">
    <w:pPr>
      <w:pStyle w:val="bpuHeadSpon"/>
    </w:pPr>
    <w:r w:rsidRPr="005E02F0">
      <w:rPr>
        <w:rStyle w:val="bpuHeadSponChar"/>
      </w:rPr>
      <w:t>S2708</w:t>
    </w:r>
    <w:r>
      <w:t xml:space="preserve"> [1R]</w:t>
    </w:r>
  </w:p>
  <w:p w14:paraId="290D5A11" w14:textId="3D9EBC34" w:rsidR="00FB2AB5" w:rsidRDefault="00FB2AB5" w:rsidP="005E02F0">
    <w:pPr>
      <w:pStyle w:val="bpuHeadSpon"/>
    </w:pPr>
    <w:r>
      <w:fldChar w:fldCharType="begin"/>
    </w:r>
    <w:r>
      <w:instrText xml:space="preserve"> PAGE  \* MERGEFORMAT </w:instrText>
    </w:r>
    <w:r>
      <w:fldChar w:fldCharType="separate"/>
    </w:r>
    <w:r w:rsidR="00FA5405">
      <w:rPr>
        <w:noProof/>
      </w:rPr>
      <w:t>7</w:t>
    </w:r>
    <w:r>
      <w:fldChar w:fldCharType="end"/>
    </w:r>
  </w:p>
  <w:p w14:paraId="00451087" w14:textId="77777777" w:rsidR="00FB2AB5" w:rsidRDefault="00FB2AB5" w:rsidP="005E02F0">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786"/>
    <w:rsid w:val="000051BD"/>
    <w:rsid w:val="000160A5"/>
    <w:rsid w:val="0002335B"/>
    <w:rsid w:val="000336AE"/>
    <w:rsid w:val="0003549A"/>
    <w:rsid w:val="000367AE"/>
    <w:rsid w:val="00043B22"/>
    <w:rsid w:val="00054975"/>
    <w:rsid w:val="00057D20"/>
    <w:rsid w:val="0006197C"/>
    <w:rsid w:val="0006281F"/>
    <w:rsid w:val="0008141C"/>
    <w:rsid w:val="00094A55"/>
    <w:rsid w:val="000A19CC"/>
    <w:rsid w:val="000A44A7"/>
    <w:rsid w:val="000B1054"/>
    <w:rsid w:val="000B3411"/>
    <w:rsid w:val="000B49EE"/>
    <w:rsid w:val="000C054C"/>
    <w:rsid w:val="000C12C2"/>
    <w:rsid w:val="000C4851"/>
    <w:rsid w:val="000D11AF"/>
    <w:rsid w:val="000D6255"/>
    <w:rsid w:val="000D6262"/>
    <w:rsid w:val="000D7B4A"/>
    <w:rsid w:val="000E05DD"/>
    <w:rsid w:val="000E1D15"/>
    <w:rsid w:val="000E3C1F"/>
    <w:rsid w:val="000E4006"/>
    <w:rsid w:val="000F3DA2"/>
    <w:rsid w:val="000F5FDE"/>
    <w:rsid w:val="000F713B"/>
    <w:rsid w:val="000F7466"/>
    <w:rsid w:val="00102340"/>
    <w:rsid w:val="00106F5A"/>
    <w:rsid w:val="00126651"/>
    <w:rsid w:val="0013000E"/>
    <w:rsid w:val="00133F81"/>
    <w:rsid w:val="00135943"/>
    <w:rsid w:val="00150768"/>
    <w:rsid w:val="001645FB"/>
    <w:rsid w:val="00167D95"/>
    <w:rsid w:val="00170D26"/>
    <w:rsid w:val="00173D2B"/>
    <w:rsid w:val="00176931"/>
    <w:rsid w:val="00181676"/>
    <w:rsid w:val="00183603"/>
    <w:rsid w:val="00194E78"/>
    <w:rsid w:val="0019707B"/>
    <w:rsid w:val="00197E8B"/>
    <w:rsid w:val="00197FA4"/>
    <w:rsid w:val="001A1430"/>
    <w:rsid w:val="001A161A"/>
    <w:rsid w:val="001A3B79"/>
    <w:rsid w:val="001A66B6"/>
    <w:rsid w:val="001B20C4"/>
    <w:rsid w:val="001B4716"/>
    <w:rsid w:val="001B4EA4"/>
    <w:rsid w:val="001C1AC3"/>
    <w:rsid w:val="001C7C52"/>
    <w:rsid w:val="001D25F3"/>
    <w:rsid w:val="001E15F1"/>
    <w:rsid w:val="001E16FA"/>
    <w:rsid w:val="001E6213"/>
    <w:rsid w:val="001F14C7"/>
    <w:rsid w:val="001F7405"/>
    <w:rsid w:val="00205255"/>
    <w:rsid w:val="00205533"/>
    <w:rsid w:val="002058EE"/>
    <w:rsid w:val="00212B8D"/>
    <w:rsid w:val="00213857"/>
    <w:rsid w:val="00222983"/>
    <w:rsid w:val="00235BED"/>
    <w:rsid w:val="002370D0"/>
    <w:rsid w:val="0024442D"/>
    <w:rsid w:val="00250250"/>
    <w:rsid w:val="00253819"/>
    <w:rsid w:val="00255958"/>
    <w:rsid w:val="00255C35"/>
    <w:rsid w:val="00257FA2"/>
    <w:rsid w:val="0026574A"/>
    <w:rsid w:val="002660BB"/>
    <w:rsid w:val="00271D3E"/>
    <w:rsid w:val="002720E8"/>
    <w:rsid w:val="00275293"/>
    <w:rsid w:val="002776B0"/>
    <w:rsid w:val="00286C7E"/>
    <w:rsid w:val="002A1029"/>
    <w:rsid w:val="002A3A1A"/>
    <w:rsid w:val="002A3AFC"/>
    <w:rsid w:val="002A4692"/>
    <w:rsid w:val="002A51BA"/>
    <w:rsid w:val="002B2E26"/>
    <w:rsid w:val="002B31C1"/>
    <w:rsid w:val="002B3FE6"/>
    <w:rsid w:val="002C0958"/>
    <w:rsid w:val="002C2D81"/>
    <w:rsid w:val="002C461E"/>
    <w:rsid w:val="002C6CEC"/>
    <w:rsid w:val="002D0344"/>
    <w:rsid w:val="002D3D3F"/>
    <w:rsid w:val="002E0607"/>
    <w:rsid w:val="002E09CE"/>
    <w:rsid w:val="002E69D1"/>
    <w:rsid w:val="002F3BA6"/>
    <w:rsid w:val="002F461A"/>
    <w:rsid w:val="00315320"/>
    <w:rsid w:val="00316DF6"/>
    <w:rsid w:val="00325776"/>
    <w:rsid w:val="00325E27"/>
    <w:rsid w:val="00330395"/>
    <w:rsid w:val="00332876"/>
    <w:rsid w:val="00333704"/>
    <w:rsid w:val="00334765"/>
    <w:rsid w:val="00336624"/>
    <w:rsid w:val="003401BA"/>
    <w:rsid w:val="0034025F"/>
    <w:rsid w:val="00340458"/>
    <w:rsid w:val="0034200F"/>
    <w:rsid w:val="003446A0"/>
    <w:rsid w:val="0034481B"/>
    <w:rsid w:val="00350130"/>
    <w:rsid w:val="00354334"/>
    <w:rsid w:val="0036180C"/>
    <w:rsid w:val="00361890"/>
    <w:rsid w:val="00363CF5"/>
    <w:rsid w:val="00364344"/>
    <w:rsid w:val="003654F9"/>
    <w:rsid w:val="003702CA"/>
    <w:rsid w:val="00370617"/>
    <w:rsid w:val="0038227B"/>
    <w:rsid w:val="00382F1F"/>
    <w:rsid w:val="00391DA4"/>
    <w:rsid w:val="003A0A8E"/>
    <w:rsid w:val="003A3C64"/>
    <w:rsid w:val="003A3F83"/>
    <w:rsid w:val="003A444A"/>
    <w:rsid w:val="003A6180"/>
    <w:rsid w:val="003B4D57"/>
    <w:rsid w:val="003C43EF"/>
    <w:rsid w:val="003C586F"/>
    <w:rsid w:val="003C5A6B"/>
    <w:rsid w:val="003C7FB2"/>
    <w:rsid w:val="003D24DE"/>
    <w:rsid w:val="003E26D4"/>
    <w:rsid w:val="003E30A3"/>
    <w:rsid w:val="003E47BA"/>
    <w:rsid w:val="003E5186"/>
    <w:rsid w:val="003F3B37"/>
    <w:rsid w:val="0040195A"/>
    <w:rsid w:val="00402DC0"/>
    <w:rsid w:val="00416C4B"/>
    <w:rsid w:val="0041751E"/>
    <w:rsid w:val="004211E5"/>
    <w:rsid w:val="00422091"/>
    <w:rsid w:val="00423A3F"/>
    <w:rsid w:val="0043386C"/>
    <w:rsid w:val="00436F2D"/>
    <w:rsid w:val="00436F5D"/>
    <w:rsid w:val="00441B42"/>
    <w:rsid w:val="0045118A"/>
    <w:rsid w:val="00451836"/>
    <w:rsid w:val="00455D51"/>
    <w:rsid w:val="00456BF9"/>
    <w:rsid w:val="00461057"/>
    <w:rsid w:val="004704A8"/>
    <w:rsid w:val="00471102"/>
    <w:rsid w:val="00471F18"/>
    <w:rsid w:val="00484144"/>
    <w:rsid w:val="00484C19"/>
    <w:rsid w:val="00485866"/>
    <w:rsid w:val="00492076"/>
    <w:rsid w:val="00493B1D"/>
    <w:rsid w:val="00496EE5"/>
    <w:rsid w:val="00497037"/>
    <w:rsid w:val="004A3009"/>
    <w:rsid w:val="004A6940"/>
    <w:rsid w:val="004A77A4"/>
    <w:rsid w:val="004C742C"/>
    <w:rsid w:val="004D2E7C"/>
    <w:rsid w:val="004D683E"/>
    <w:rsid w:val="004E1F3E"/>
    <w:rsid w:val="004F21BD"/>
    <w:rsid w:val="004F4F1D"/>
    <w:rsid w:val="004F5348"/>
    <w:rsid w:val="004F74DD"/>
    <w:rsid w:val="00501317"/>
    <w:rsid w:val="0050495C"/>
    <w:rsid w:val="00505DC9"/>
    <w:rsid w:val="00506E1E"/>
    <w:rsid w:val="00513C81"/>
    <w:rsid w:val="00523F1D"/>
    <w:rsid w:val="005253A9"/>
    <w:rsid w:val="00527BFB"/>
    <w:rsid w:val="00532A32"/>
    <w:rsid w:val="00533BBF"/>
    <w:rsid w:val="00540B0B"/>
    <w:rsid w:val="0054460F"/>
    <w:rsid w:val="005536CD"/>
    <w:rsid w:val="00554051"/>
    <w:rsid w:val="00557240"/>
    <w:rsid w:val="005651F3"/>
    <w:rsid w:val="00572184"/>
    <w:rsid w:val="005723BE"/>
    <w:rsid w:val="00577A15"/>
    <w:rsid w:val="00580533"/>
    <w:rsid w:val="0059131D"/>
    <w:rsid w:val="005A1A63"/>
    <w:rsid w:val="005B3F92"/>
    <w:rsid w:val="005B479C"/>
    <w:rsid w:val="005B561E"/>
    <w:rsid w:val="005C06AC"/>
    <w:rsid w:val="005C07E4"/>
    <w:rsid w:val="005C2124"/>
    <w:rsid w:val="005C336F"/>
    <w:rsid w:val="005C7F3C"/>
    <w:rsid w:val="005D47D5"/>
    <w:rsid w:val="005D5EDD"/>
    <w:rsid w:val="005E017C"/>
    <w:rsid w:val="005E02F0"/>
    <w:rsid w:val="005E50C6"/>
    <w:rsid w:val="005E6716"/>
    <w:rsid w:val="005F2A97"/>
    <w:rsid w:val="005F399B"/>
    <w:rsid w:val="006019F8"/>
    <w:rsid w:val="00605B20"/>
    <w:rsid w:val="0061156F"/>
    <w:rsid w:val="00613FF5"/>
    <w:rsid w:val="006155A8"/>
    <w:rsid w:val="00621B94"/>
    <w:rsid w:val="00621F0E"/>
    <w:rsid w:val="00626239"/>
    <w:rsid w:val="00635316"/>
    <w:rsid w:val="00635449"/>
    <w:rsid w:val="006378C5"/>
    <w:rsid w:val="006415A2"/>
    <w:rsid w:val="00643008"/>
    <w:rsid w:val="00645E6A"/>
    <w:rsid w:val="00665CBC"/>
    <w:rsid w:val="00667A5C"/>
    <w:rsid w:val="0067443D"/>
    <w:rsid w:val="00677218"/>
    <w:rsid w:val="00677316"/>
    <w:rsid w:val="006859D5"/>
    <w:rsid w:val="00686AEB"/>
    <w:rsid w:val="006905EF"/>
    <w:rsid w:val="006B08F6"/>
    <w:rsid w:val="006B6987"/>
    <w:rsid w:val="006B7897"/>
    <w:rsid w:val="006B7FA7"/>
    <w:rsid w:val="006C086A"/>
    <w:rsid w:val="006C21C1"/>
    <w:rsid w:val="006C5275"/>
    <w:rsid w:val="006C7327"/>
    <w:rsid w:val="006D00E5"/>
    <w:rsid w:val="006D791B"/>
    <w:rsid w:val="006E2895"/>
    <w:rsid w:val="006E5BBB"/>
    <w:rsid w:val="006F180D"/>
    <w:rsid w:val="006F4334"/>
    <w:rsid w:val="006F47AF"/>
    <w:rsid w:val="006F6B8A"/>
    <w:rsid w:val="00702F8C"/>
    <w:rsid w:val="00707CD3"/>
    <w:rsid w:val="007132B8"/>
    <w:rsid w:val="00716BB9"/>
    <w:rsid w:val="007256D1"/>
    <w:rsid w:val="00726CF0"/>
    <w:rsid w:val="007279FD"/>
    <w:rsid w:val="00732827"/>
    <w:rsid w:val="007502CB"/>
    <w:rsid w:val="00752D79"/>
    <w:rsid w:val="00752E20"/>
    <w:rsid w:val="00753DBB"/>
    <w:rsid w:val="00756EDE"/>
    <w:rsid w:val="00771D06"/>
    <w:rsid w:val="00781B4D"/>
    <w:rsid w:val="007824BF"/>
    <w:rsid w:val="00783B8D"/>
    <w:rsid w:val="0079470A"/>
    <w:rsid w:val="00794B94"/>
    <w:rsid w:val="00794BD4"/>
    <w:rsid w:val="007A2F73"/>
    <w:rsid w:val="007A3061"/>
    <w:rsid w:val="007A5A0B"/>
    <w:rsid w:val="007B0662"/>
    <w:rsid w:val="007C0E14"/>
    <w:rsid w:val="007C29C6"/>
    <w:rsid w:val="007C41DC"/>
    <w:rsid w:val="007C5FAF"/>
    <w:rsid w:val="007C7DE4"/>
    <w:rsid w:val="007D40CB"/>
    <w:rsid w:val="007D5796"/>
    <w:rsid w:val="007D59C0"/>
    <w:rsid w:val="007D7D9C"/>
    <w:rsid w:val="007F485D"/>
    <w:rsid w:val="007F6050"/>
    <w:rsid w:val="00813627"/>
    <w:rsid w:val="0082686D"/>
    <w:rsid w:val="00827012"/>
    <w:rsid w:val="00832816"/>
    <w:rsid w:val="00834A34"/>
    <w:rsid w:val="0083522D"/>
    <w:rsid w:val="00837109"/>
    <w:rsid w:val="00840365"/>
    <w:rsid w:val="008406A3"/>
    <w:rsid w:val="00841D2C"/>
    <w:rsid w:val="00845F3C"/>
    <w:rsid w:val="008461B8"/>
    <w:rsid w:val="008462F1"/>
    <w:rsid w:val="00847EF1"/>
    <w:rsid w:val="008538FA"/>
    <w:rsid w:val="00855F2C"/>
    <w:rsid w:val="008573B0"/>
    <w:rsid w:val="00857EA9"/>
    <w:rsid w:val="00862498"/>
    <w:rsid w:val="00866563"/>
    <w:rsid w:val="00867AC2"/>
    <w:rsid w:val="0087056E"/>
    <w:rsid w:val="00871AFF"/>
    <w:rsid w:val="00873AD5"/>
    <w:rsid w:val="00875402"/>
    <w:rsid w:val="00880713"/>
    <w:rsid w:val="00884D51"/>
    <w:rsid w:val="008916EC"/>
    <w:rsid w:val="00891E4F"/>
    <w:rsid w:val="008948B0"/>
    <w:rsid w:val="008A1BCB"/>
    <w:rsid w:val="008A31C5"/>
    <w:rsid w:val="008A4F9A"/>
    <w:rsid w:val="008B100B"/>
    <w:rsid w:val="008B2850"/>
    <w:rsid w:val="008C79B3"/>
    <w:rsid w:val="008D41C2"/>
    <w:rsid w:val="008D77BD"/>
    <w:rsid w:val="008E3D8B"/>
    <w:rsid w:val="008E454C"/>
    <w:rsid w:val="008E7F62"/>
    <w:rsid w:val="008F1E5A"/>
    <w:rsid w:val="00901BDA"/>
    <w:rsid w:val="009121D8"/>
    <w:rsid w:val="00916F7A"/>
    <w:rsid w:val="00917FE3"/>
    <w:rsid w:val="009318C7"/>
    <w:rsid w:val="00931C09"/>
    <w:rsid w:val="009348C2"/>
    <w:rsid w:val="00937674"/>
    <w:rsid w:val="009404D2"/>
    <w:rsid w:val="009440D0"/>
    <w:rsid w:val="00946932"/>
    <w:rsid w:val="00951280"/>
    <w:rsid w:val="009523A3"/>
    <w:rsid w:val="00956A61"/>
    <w:rsid w:val="00960958"/>
    <w:rsid w:val="00963A46"/>
    <w:rsid w:val="00966A3E"/>
    <w:rsid w:val="009704B1"/>
    <w:rsid w:val="00971004"/>
    <w:rsid w:val="00971493"/>
    <w:rsid w:val="00971AD9"/>
    <w:rsid w:val="00973069"/>
    <w:rsid w:val="00973523"/>
    <w:rsid w:val="00980766"/>
    <w:rsid w:val="009835D4"/>
    <w:rsid w:val="009865D4"/>
    <w:rsid w:val="00987C75"/>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41D5"/>
    <w:rsid w:val="009D7934"/>
    <w:rsid w:val="009D7CCF"/>
    <w:rsid w:val="009E2249"/>
    <w:rsid w:val="009E5961"/>
    <w:rsid w:val="009F4FAC"/>
    <w:rsid w:val="009F7110"/>
    <w:rsid w:val="00A017C0"/>
    <w:rsid w:val="00A11228"/>
    <w:rsid w:val="00A222C2"/>
    <w:rsid w:val="00A305D6"/>
    <w:rsid w:val="00A342C4"/>
    <w:rsid w:val="00A35B3C"/>
    <w:rsid w:val="00A475FD"/>
    <w:rsid w:val="00A50F6B"/>
    <w:rsid w:val="00A52237"/>
    <w:rsid w:val="00A551D6"/>
    <w:rsid w:val="00A6251B"/>
    <w:rsid w:val="00A64DE7"/>
    <w:rsid w:val="00A6754E"/>
    <w:rsid w:val="00A67AD3"/>
    <w:rsid w:val="00A70F58"/>
    <w:rsid w:val="00A72987"/>
    <w:rsid w:val="00A73116"/>
    <w:rsid w:val="00A7346B"/>
    <w:rsid w:val="00A84C4F"/>
    <w:rsid w:val="00A92B58"/>
    <w:rsid w:val="00A932A1"/>
    <w:rsid w:val="00A96E06"/>
    <w:rsid w:val="00AA6197"/>
    <w:rsid w:val="00AA6C70"/>
    <w:rsid w:val="00AB1337"/>
    <w:rsid w:val="00AB16FD"/>
    <w:rsid w:val="00AB3BF0"/>
    <w:rsid w:val="00AB4813"/>
    <w:rsid w:val="00AC4DD1"/>
    <w:rsid w:val="00AC6466"/>
    <w:rsid w:val="00AC7639"/>
    <w:rsid w:val="00AD08BB"/>
    <w:rsid w:val="00AD0EC0"/>
    <w:rsid w:val="00AD6571"/>
    <w:rsid w:val="00AD70D6"/>
    <w:rsid w:val="00AD75BC"/>
    <w:rsid w:val="00AD7BB0"/>
    <w:rsid w:val="00AD7BC9"/>
    <w:rsid w:val="00AE1871"/>
    <w:rsid w:val="00AF1A8C"/>
    <w:rsid w:val="00B0116D"/>
    <w:rsid w:val="00B01173"/>
    <w:rsid w:val="00B02570"/>
    <w:rsid w:val="00B02F35"/>
    <w:rsid w:val="00B05A3C"/>
    <w:rsid w:val="00B07100"/>
    <w:rsid w:val="00B1138C"/>
    <w:rsid w:val="00B2574A"/>
    <w:rsid w:val="00B35D8A"/>
    <w:rsid w:val="00B43E8C"/>
    <w:rsid w:val="00B45B34"/>
    <w:rsid w:val="00B57047"/>
    <w:rsid w:val="00B61D86"/>
    <w:rsid w:val="00B6342D"/>
    <w:rsid w:val="00B65BE8"/>
    <w:rsid w:val="00B726BD"/>
    <w:rsid w:val="00B732BC"/>
    <w:rsid w:val="00B82A30"/>
    <w:rsid w:val="00B90E33"/>
    <w:rsid w:val="00B93B97"/>
    <w:rsid w:val="00B9676B"/>
    <w:rsid w:val="00BA2EA5"/>
    <w:rsid w:val="00BA364B"/>
    <w:rsid w:val="00BB1190"/>
    <w:rsid w:val="00BB31D0"/>
    <w:rsid w:val="00BB3A11"/>
    <w:rsid w:val="00BB4DDB"/>
    <w:rsid w:val="00BB5D79"/>
    <w:rsid w:val="00BB5F02"/>
    <w:rsid w:val="00BC7892"/>
    <w:rsid w:val="00BE24D6"/>
    <w:rsid w:val="00BE7EFA"/>
    <w:rsid w:val="00BF06AD"/>
    <w:rsid w:val="00BF291A"/>
    <w:rsid w:val="00BF2C67"/>
    <w:rsid w:val="00C0258B"/>
    <w:rsid w:val="00C04F4D"/>
    <w:rsid w:val="00C12E48"/>
    <w:rsid w:val="00C12E80"/>
    <w:rsid w:val="00C13BB7"/>
    <w:rsid w:val="00C13D14"/>
    <w:rsid w:val="00C15F53"/>
    <w:rsid w:val="00C22C36"/>
    <w:rsid w:val="00C23F09"/>
    <w:rsid w:val="00C25356"/>
    <w:rsid w:val="00C328D0"/>
    <w:rsid w:val="00C46BC1"/>
    <w:rsid w:val="00C47864"/>
    <w:rsid w:val="00C5235F"/>
    <w:rsid w:val="00C54CE2"/>
    <w:rsid w:val="00C55269"/>
    <w:rsid w:val="00C61C34"/>
    <w:rsid w:val="00C62B80"/>
    <w:rsid w:val="00C66BF3"/>
    <w:rsid w:val="00C70140"/>
    <w:rsid w:val="00C71D94"/>
    <w:rsid w:val="00C73B09"/>
    <w:rsid w:val="00C73CA7"/>
    <w:rsid w:val="00C76007"/>
    <w:rsid w:val="00C822F6"/>
    <w:rsid w:val="00C82AC2"/>
    <w:rsid w:val="00C8456C"/>
    <w:rsid w:val="00C8577A"/>
    <w:rsid w:val="00C91E19"/>
    <w:rsid w:val="00C92402"/>
    <w:rsid w:val="00C92867"/>
    <w:rsid w:val="00C93B93"/>
    <w:rsid w:val="00C95A46"/>
    <w:rsid w:val="00CA037D"/>
    <w:rsid w:val="00CA0837"/>
    <w:rsid w:val="00CA2442"/>
    <w:rsid w:val="00CA4725"/>
    <w:rsid w:val="00CB3DB1"/>
    <w:rsid w:val="00CB6246"/>
    <w:rsid w:val="00CC0A17"/>
    <w:rsid w:val="00CD0F93"/>
    <w:rsid w:val="00CD1BD1"/>
    <w:rsid w:val="00CD528D"/>
    <w:rsid w:val="00CE78BF"/>
    <w:rsid w:val="00CF65EB"/>
    <w:rsid w:val="00CF72AD"/>
    <w:rsid w:val="00D01E29"/>
    <w:rsid w:val="00D02441"/>
    <w:rsid w:val="00D039F4"/>
    <w:rsid w:val="00D10496"/>
    <w:rsid w:val="00D11173"/>
    <w:rsid w:val="00D1215F"/>
    <w:rsid w:val="00D16561"/>
    <w:rsid w:val="00D17FF8"/>
    <w:rsid w:val="00D268AC"/>
    <w:rsid w:val="00D27FF3"/>
    <w:rsid w:val="00D3238B"/>
    <w:rsid w:val="00D343D0"/>
    <w:rsid w:val="00D3664D"/>
    <w:rsid w:val="00D50001"/>
    <w:rsid w:val="00D500E9"/>
    <w:rsid w:val="00D507BC"/>
    <w:rsid w:val="00D57378"/>
    <w:rsid w:val="00D6090A"/>
    <w:rsid w:val="00D62FA3"/>
    <w:rsid w:val="00D63B6F"/>
    <w:rsid w:val="00D64A90"/>
    <w:rsid w:val="00D845F1"/>
    <w:rsid w:val="00D9410B"/>
    <w:rsid w:val="00D95C77"/>
    <w:rsid w:val="00D9695B"/>
    <w:rsid w:val="00DA2417"/>
    <w:rsid w:val="00DA377E"/>
    <w:rsid w:val="00DA5585"/>
    <w:rsid w:val="00DB02AC"/>
    <w:rsid w:val="00DB6AA2"/>
    <w:rsid w:val="00DC42D9"/>
    <w:rsid w:val="00DC7786"/>
    <w:rsid w:val="00DD4F9B"/>
    <w:rsid w:val="00DE10D1"/>
    <w:rsid w:val="00DE19F0"/>
    <w:rsid w:val="00DE2514"/>
    <w:rsid w:val="00DE6851"/>
    <w:rsid w:val="00DF03EE"/>
    <w:rsid w:val="00DF76A1"/>
    <w:rsid w:val="00DF7F6D"/>
    <w:rsid w:val="00E01B71"/>
    <w:rsid w:val="00E04D46"/>
    <w:rsid w:val="00E05CC9"/>
    <w:rsid w:val="00E15573"/>
    <w:rsid w:val="00E214BC"/>
    <w:rsid w:val="00E25A5B"/>
    <w:rsid w:val="00E333F3"/>
    <w:rsid w:val="00E373C7"/>
    <w:rsid w:val="00E40916"/>
    <w:rsid w:val="00E4267B"/>
    <w:rsid w:val="00E42F13"/>
    <w:rsid w:val="00E452DF"/>
    <w:rsid w:val="00E543CF"/>
    <w:rsid w:val="00E546FD"/>
    <w:rsid w:val="00E56071"/>
    <w:rsid w:val="00E608F1"/>
    <w:rsid w:val="00E611B9"/>
    <w:rsid w:val="00E7144F"/>
    <w:rsid w:val="00E73D74"/>
    <w:rsid w:val="00E76A79"/>
    <w:rsid w:val="00E80145"/>
    <w:rsid w:val="00E80692"/>
    <w:rsid w:val="00E80C24"/>
    <w:rsid w:val="00E93836"/>
    <w:rsid w:val="00EA7C16"/>
    <w:rsid w:val="00EC134D"/>
    <w:rsid w:val="00EC5281"/>
    <w:rsid w:val="00EC791D"/>
    <w:rsid w:val="00EC7CA6"/>
    <w:rsid w:val="00ED2D7C"/>
    <w:rsid w:val="00ED3C5D"/>
    <w:rsid w:val="00ED4553"/>
    <w:rsid w:val="00ED4832"/>
    <w:rsid w:val="00EE1208"/>
    <w:rsid w:val="00EF2520"/>
    <w:rsid w:val="00EF7E98"/>
    <w:rsid w:val="00F00D08"/>
    <w:rsid w:val="00F031F8"/>
    <w:rsid w:val="00F03EF5"/>
    <w:rsid w:val="00F15583"/>
    <w:rsid w:val="00F17792"/>
    <w:rsid w:val="00F200EE"/>
    <w:rsid w:val="00F22481"/>
    <w:rsid w:val="00F224C8"/>
    <w:rsid w:val="00F2542E"/>
    <w:rsid w:val="00F27278"/>
    <w:rsid w:val="00F344E3"/>
    <w:rsid w:val="00F34D58"/>
    <w:rsid w:val="00F409E3"/>
    <w:rsid w:val="00F41A9D"/>
    <w:rsid w:val="00F44314"/>
    <w:rsid w:val="00F45D55"/>
    <w:rsid w:val="00F54B9C"/>
    <w:rsid w:val="00F56E96"/>
    <w:rsid w:val="00F573DD"/>
    <w:rsid w:val="00F61E59"/>
    <w:rsid w:val="00F63D99"/>
    <w:rsid w:val="00F6426B"/>
    <w:rsid w:val="00F642A6"/>
    <w:rsid w:val="00F64EB2"/>
    <w:rsid w:val="00F709B3"/>
    <w:rsid w:val="00F71A5E"/>
    <w:rsid w:val="00F7291B"/>
    <w:rsid w:val="00F94016"/>
    <w:rsid w:val="00FA0AFC"/>
    <w:rsid w:val="00FA1C82"/>
    <w:rsid w:val="00FA1C9C"/>
    <w:rsid w:val="00FA2ED1"/>
    <w:rsid w:val="00FA4A52"/>
    <w:rsid w:val="00FA5405"/>
    <w:rsid w:val="00FB2AB5"/>
    <w:rsid w:val="00FB319F"/>
    <w:rsid w:val="00FB4045"/>
    <w:rsid w:val="00FB4D8E"/>
    <w:rsid w:val="00FC0D0A"/>
    <w:rsid w:val="00FC0E52"/>
    <w:rsid w:val="00FC1B0B"/>
    <w:rsid w:val="00FD2F97"/>
    <w:rsid w:val="00FD7B2B"/>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CC7D80A"/>
  <w15:docId w15:val="{4D6E874A-2FD8-46D3-B030-B7B43D006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semiHidden/>
    <w:unhideWhenUsed/>
    <w:rsid w:val="0038227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8227B"/>
    <w:rPr>
      <w:rFonts w:ascii="Segoe UI" w:hAnsi="Segoe UI" w:cs="Segoe UI"/>
      <w:spacing w:val="4"/>
      <w:sz w:val="18"/>
      <w:szCs w:val="18"/>
    </w:rPr>
  </w:style>
  <w:style w:type="character" w:styleId="LineNumber">
    <w:name w:val="line number"/>
    <w:basedOn w:val="DefaultParagraphFont"/>
    <w:semiHidden/>
    <w:unhideWhenUsed/>
    <w:rsid w:val="005E0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49739">
      <w:bodyDiv w:val="1"/>
      <w:marLeft w:val="0"/>
      <w:marRight w:val="0"/>
      <w:marTop w:val="0"/>
      <w:marBottom w:val="0"/>
      <w:divBdr>
        <w:top w:val="none" w:sz="0" w:space="0" w:color="auto"/>
        <w:left w:val="none" w:sz="0" w:space="0" w:color="auto"/>
        <w:bottom w:val="none" w:sz="0" w:space="0" w:color="auto"/>
        <w:right w:val="none" w:sz="0" w:space="0" w:color="auto"/>
      </w:divBdr>
    </w:div>
    <w:div w:id="814177964">
      <w:bodyDiv w:val="1"/>
      <w:marLeft w:val="0"/>
      <w:marRight w:val="0"/>
      <w:marTop w:val="0"/>
      <w:marBottom w:val="0"/>
      <w:divBdr>
        <w:top w:val="none" w:sz="0" w:space="0" w:color="auto"/>
        <w:left w:val="none" w:sz="0" w:space="0" w:color="auto"/>
        <w:bottom w:val="none" w:sz="0" w:space="0" w:color="auto"/>
        <w:right w:val="none" w:sz="0" w:space="0" w:color="auto"/>
      </w:divBdr>
    </w:div>
    <w:div w:id="1255285185">
      <w:bodyDiv w:val="1"/>
      <w:marLeft w:val="0"/>
      <w:marRight w:val="0"/>
      <w:marTop w:val="0"/>
      <w:marBottom w:val="0"/>
      <w:divBdr>
        <w:top w:val="none" w:sz="0" w:space="0" w:color="auto"/>
        <w:left w:val="none" w:sz="0" w:space="0" w:color="auto"/>
        <w:bottom w:val="none" w:sz="0" w:space="0" w:color="auto"/>
        <w:right w:val="none" w:sz="0" w:space="0" w:color="auto"/>
      </w:divBdr>
    </w:div>
    <w:div w:id="145420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DF299-641B-499B-97ED-5356963DA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7</Pages>
  <Words>2533</Words>
  <Characters>14044</Characters>
  <Application>Microsoft Office Word</Application>
  <DocSecurity>0</DocSecurity>
  <Lines>296</Lines>
  <Paragraphs>46</Paragraphs>
  <ScaleCrop>false</ScaleCrop>
  <HeadingPairs>
    <vt:vector size="2" baseType="variant">
      <vt:variant>
        <vt:lpstr>Title</vt:lpstr>
      </vt:variant>
      <vt:variant>
        <vt:i4>1</vt:i4>
      </vt:variant>
    </vt:vector>
  </HeadingPairs>
  <TitlesOfParts>
    <vt:vector size="1" baseType="lpstr">
      <vt:lpstr>P.L. 2021, c.001 (S2708 1R)</vt:lpstr>
    </vt:vector>
  </TitlesOfParts>
  <Manager>Kenneth P. Howard</Manager>
  <Company>NJ Office of Legislative Services</Company>
  <LinksUpToDate>false</LinksUpToDate>
  <CharactersWithSpaces>16636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2021, c.001 (S2708 1R)</dc:title>
  <dc:subject/>
  <dc:creator>Senate, No. 2708 (First Reprint)</dc:creator>
  <cp:keywords>S2708|7| ||0|0|!|0|</cp:keywords>
  <dc:description>INTRODUCED JULY 22, 2020_x000d_
Amended by CV 12/17/20</dc:description>
  <cp:lastModifiedBy>Todaro, Vivian</cp:lastModifiedBy>
  <cp:revision>2</cp:revision>
  <cp:lastPrinted>2021-03-04T19:41:00Z</cp:lastPrinted>
  <dcterms:created xsi:type="dcterms:W3CDTF">2022-04-25T17:00:00Z</dcterms:created>
  <dcterms:modified xsi:type="dcterms:W3CDTF">2022-04-25T17:00:00Z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y fmtid="{D5CDD505-2E9C-101B-9397-08002B2CF9AE}" pid="4" name="docPLTitle">
    <vt:lpwstr>P.L. 2021, c.1</vt:lpwstr>
  </property>
</Properties>
</file>