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6B706" w14:textId="77777777" w:rsidR="00067458" w:rsidRDefault="00067458" w:rsidP="0030578B">
      <w:pPr>
        <w:pStyle w:val="HangingAnAct"/>
        <w:suppressLineNumbers/>
        <w:rPr>
          <w:b/>
          <w:smallCaps/>
          <w:spacing w:val="0"/>
          <w:szCs w:val="20"/>
        </w:rPr>
        <w:sectPr w:rsidR="00067458" w:rsidSect="00F30BB3">
          <w:headerReference w:type="default" r:id="rId7"/>
          <w:footerReference w:type="first" r:id="rId8"/>
          <w:pgSz w:w="12240" w:h="20160" w:code="5"/>
          <w:pgMar w:top="1440" w:right="2520" w:bottom="1872" w:left="2880" w:header="1181" w:footer="779" w:gutter="0"/>
          <w:lnNumType w:countBy="1"/>
          <w:cols w:space="720"/>
          <w:titlePg/>
          <w:docGrid w:linePitch="360"/>
        </w:sectPr>
      </w:pPr>
    </w:p>
    <w:p w14:paraId="4F50518D" w14:textId="77777777" w:rsidR="00067458" w:rsidRDefault="00067458" w:rsidP="00067458">
      <w:pPr>
        <w:ind w:left="6048"/>
      </w:pPr>
      <w:r>
        <w:t>§§1,2</w:t>
      </w:r>
    </w:p>
    <w:p w14:paraId="0590FC71" w14:textId="77777777" w:rsidR="00067458" w:rsidRDefault="00067458" w:rsidP="00067458">
      <w:pPr>
        <w:ind w:left="6048"/>
      </w:pPr>
      <w:r>
        <w:t>C.22A:2-51a &amp;</w:t>
      </w:r>
    </w:p>
    <w:p w14:paraId="471DAADD" w14:textId="73E134B1" w:rsidR="00067458" w:rsidRDefault="00067458" w:rsidP="00067458">
      <w:pPr>
        <w:ind w:left="6048"/>
      </w:pPr>
      <w:r>
        <w:t>22A:</w:t>
      </w:r>
      <w:r w:rsidR="002E1563">
        <w:t xml:space="preserve"> </w:t>
      </w:r>
      <w:r>
        <w:t>2-51b</w:t>
      </w:r>
    </w:p>
    <w:p w14:paraId="5EF9DF76" w14:textId="77777777" w:rsidR="00067458" w:rsidRDefault="00067458" w:rsidP="00067458">
      <w:pPr>
        <w:ind w:left="6048"/>
      </w:pPr>
      <w:r>
        <w:t>§3</w:t>
      </w:r>
    </w:p>
    <w:p w14:paraId="6AE279C3" w14:textId="2E5622C8" w:rsidR="00067458" w:rsidRDefault="00067458" w:rsidP="00067458">
      <w:pPr>
        <w:ind w:left="6048"/>
      </w:pPr>
      <w:proofErr w:type="spellStart"/>
      <w:r>
        <w:t>Approp</w:t>
      </w:r>
      <w:proofErr w:type="spellEnd"/>
      <w:r>
        <w:t>.</w:t>
      </w:r>
    </w:p>
    <w:p w14:paraId="398123A8" w14:textId="27B73878" w:rsidR="00067458" w:rsidRDefault="00067458" w:rsidP="00067458">
      <w:pPr>
        <w:ind w:left="6048"/>
      </w:pPr>
    </w:p>
    <w:p w14:paraId="7848A460" w14:textId="77777777" w:rsidR="00067458" w:rsidRDefault="00067458" w:rsidP="00067458">
      <w:pPr>
        <w:sectPr w:rsidR="00067458" w:rsidSect="00067458">
          <w:type w:val="continuous"/>
          <w:pgSz w:w="12240" w:h="20160" w:code="5"/>
          <w:pgMar w:top="1440" w:right="1440" w:bottom="1872" w:left="2880" w:header="72" w:footer="720" w:gutter="0"/>
          <w:cols w:space="720"/>
          <w:titlePg/>
          <w:docGrid w:linePitch="360"/>
        </w:sectPr>
      </w:pPr>
    </w:p>
    <w:p w14:paraId="3A2A8AAE" w14:textId="77777777" w:rsidR="00111B98" w:rsidRPr="002E1563" w:rsidRDefault="00111B98" w:rsidP="00111B98">
      <w:pPr>
        <w:jc w:val="center"/>
      </w:pPr>
      <w:bookmarkStart w:id="0" w:name="LCPL"/>
      <w:bookmarkEnd w:id="0"/>
      <w:r>
        <w:rPr>
          <w:b/>
        </w:rPr>
        <w:t>(CORRECTED COPY)</w:t>
      </w:r>
    </w:p>
    <w:p w14:paraId="3AFE2BA3" w14:textId="56E598EC" w:rsidR="00067458" w:rsidRDefault="00067458" w:rsidP="00067458">
      <w:pPr>
        <w:jc w:val="center"/>
      </w:pPr>
      <w:r>
        <w:t>P.L. 2021, CHAPTER 181,</w:t>
      </w:r>
      <w:r>
        <w:rPr>
          <w:b/>
          <w:i/>
        </w:rPr>
        <w:t xml:space="preserve"> approved July 22, 2021</w:t>
      </w:r>
    </w:p>
    <w:p w14:paraId="12CF7505" w14:textId="0F398C25" w:rsidR="00067458" w:rsidRDefault="00067458" w:rsidP="00067458">
      <w:pPr>
        <w:jc w:val="center"/>
        <w:rPr>
          <w:b/>
          <w:i/>
        </w:rPr>
      </w:pPr>
      <w:r>
        <w:t xml:space="preserve">Assembly, No. 5758 </w:t>
      </w:r>
      <w:r w:rsidRPr="00067458">
        <w:rPr>
          <w:b/>
          <w:i/>
        </w:rPr>
        <w:t>(Second Reprint)</w:t>
      </w:r>
    </w:p>
    <w:p w14:paraId="36711198" w14:textId="42D28F17" w:rsidR="00067458" w:rsidRDefault="00067458" w:rsidP="00067458">
      <w:pPr>
        <w:jc w:val="center"/>
      </w:pPr>
    </w:p>
    <w:p w14:paraId="22C82C9D" w14:textId="77777777" w:rsidR="00067458" w:rsidRPr="00067458" w:rsidRDefault="00067458" w:rsidP="00067458">
      <w:pPr>
        <w:jc w:val="center"/>
      </w:pPr>
    </w:p>
    <w:p w14:paraId="45C7D1A3" w14:textId="77777777" w:rsidR="00067458" w:rsidRPr="00067458" w:rsidRDefault="00067458" w:rsidP="00067458">
      <w:pPr>
        <w:sectPr w:rsidR="00067458" w:rsidRPr="00067458" w:rsidSect="00067458">
          <w:type w:val="continuous"/>
          <w:pgSz w:w="12240" w:h="20160" w:code="5"/>
          <w:pgMar w:top="2880" w:right="1440" w:bottom="1872" w:left="1440" w:header="72" w:footer="720" w:gutter="0"/>
          <w:cols w:space="720"/>
          <w:docGrid w:linePitch="360"/>
        </w:sectPr>
      </w:pPr>
    </w:p>
    <w:p w14:paraId="74632F81" w14:textId="29883EEB" w:rsidR="00686AEB" w:rsidRPr="00677316" w:rsidRDefault="00F30BB3" w:rsidP="003E47BA">
      <w:pPr>
        <w:pStyle w:val="HangingAnAct"/>
        <w:rPr>
          <w:rStyle w:val="HangingAnActChar"/>
        </w:rPr>
      </w:pPr>
      <w:r w:rsidRPr="00F30BB3">
        <w:rPr>
          <w:b/>
          <w:smallCaps/>
          <w:spacing w:val="0"/>
          <w:szCs w:val="20"/>
        </w:rPr>
        <w:t>An Act</w:t>
      </w:r>
      <w:r w:rsidRPr="00F30BB3">
        <w:t xml:space="preserve"> concerning </w:t>
      </w:r>
      <w:r w:rsidRPr="00F30BB3">
        <w:rPr>
          <w:rFonts w:ascii="Albertus Extra Bold" w:hAnsi="Albertus Extra Bold"/>
          <w:b/>
          <w:vertAlign w:val="superscript"/>
        </w:rPr>
        <w:t>2</w:t>
      </w:r>
      <w:r w:rsidRPr="00F30BB3">
        <w:rPr>
          <w:rFonts w:ascii="Albertus Extra Bold" w:hAnsi="Albertus Extra Bold"/>
          <w:b/>
        </w:rPr>
        <w:t>[</w:t>
      </w:r>
      <w:r w:rsidRPr="00F30BB3">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t xml:space="preserve"> programs to provide legal services for certain tenants in need of housing assistance, supplementing P.L.1996, c.52 (C.22A:2-51 et al.), and making an appropriation.</w:t>
      </w:r>
    </w:p>
    <w:p w14:paraId="1C22545D" w14:textId="77777777" w:rsidR="000B1054" w:rsidRPr="00D71D68" w:rsidRDefault="000B1054" w:rsidP="000B1054"/>
    <w:p w14:paraId="6C0B27DC" w14:textId="77777777" w:rsidR="00686AEB" w:rsidRPr="00AA7880" w:rsidRDefault="00686AEB" w:rsidP="00686AEB">
      <w:r>
        <w:tab/>
      </w:r>
      <w:r w:rsidR="00D067B4">
        <w:rPr>
          <w:rStyle w:val="BillHeading2"/>
        </w:rPr>
        <w:t>Be It Enacted</w:t>
      </w:r>
      <w:r>
        <w:rPr>
          <w:rStyle w:val="BillHeading2"/>
        </w:rPr>
        <w:t xml:space="preserve"> </w:t>
      </w:r>
      <w:r w:rsidR="00D067B4">
        <w:rPr>
          <w:rStyle w:val="BillLanguage"/>
        </w:rPr>
        <w:t>by the Senate and General Assembly of the State of New Jersey:</w:t>
      </w:r>
    </w:p>
    <w:p w14:paraId="030505FB" w14:textId="77777777" w:rsidR="00686AEB" w:rsidRPr="00D71D68" w:rsidRDefault="00686AEB" w:rsidP="00686AEB"/>
    <w:p w14:paraId="31C013A9"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1.</w:t>
      </w:r>
      <w:r w:rsidRPr="00F30BB3">
        <w:rPr>
          <w:spacing w:val="0"/>
        </w:rPr>
        <w:tab/>
        <w:t>The Legislature finds and declares that:</w:t>
      </w:r>
    </w:p>
    <w:p w14:paraId="30BEFFDB"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a.</w:t>
      </w:r>
      <w:r w:rsidRPr="00F30BB3">
        <w:rPr>
          <w:spacing w:val="0"/>
        </w:rPr>
        <w:tab/>
        <w:t>The lack of affordable housing in New Jersey forces low- and moderate-income households to spend a disproportionate share of their income toward rental payments, which dynamic has resulted in an eviction crisis throughout the State.</w:t>
      </w:r>
    </w:p>
    <w:p w14:paraId="2A6A36A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The COVID-19 pandemic has heightened existing economic disparities and exacerbated the economic insecurity of many low- and moderate-income households, thereby worsening the State’s eviction crisis to a critical level.</w:t>
      </w:r>
    </w:p>
    <w:p w14:paraId="47BF39B9"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t>During the COVID-19 pandemic, a Statewide moratorium on evictions was put in place pursuant to Executive Order No. 106 and P.L.2020, c.1 (C.2A:18-59.3); however, this moratorium will soon expire, placing many low- and moderate-income households at risk of eviction.</w:t>
      </w:r>
    </w:p>
    <w:p w14:paraId="0E16499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It is estimated that as many as 300,000 rental households in New Jersey will become subject to an eviction proceeding after the eviction moratorium ends, which would be double the average annual number of proceedings filed before the pandemic.</w:t>
      </w:r>
    </w:p>
    <w:p w14:paraId="08132352"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e.</w:t>
      </w:r>
      <w:r w:rsidRPr="00F30BB3">
        <w:rPr>
          <w:spacing w:val="0"/>
        </w:rPr>
        <w:tab/>
        <w:t xml:space="preserve">These evictions are expected to disproportionately impact Black and Latino residents of New Jersey, as these communities account for a large percentage of the State’s rental population. </w:t>
      </w:r>
    </w:p>
    <w:p w14:paraId="613EA9F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f.</w:t>
      </w:r>
      <w:r w:rsidRPr="00F30BB3">
        <w:rPr>
          <w:spacing w:val="0"/>
        </w:rPr>
        <w:tab/>
        <w:t xml:space="preserve">Additionally, many landlords have increasingly filed legal actions against tenants to seek monetary relief rather than eviction, thereby putting low- and moderate-income tenants at risk of damaged credit ratings and further economic hardship.  </w:t>
      </w:r>
    </w:p>
    <w:p w14:paraId="3C0C981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g.</w:t>
      </w:r>
      <w:r w:rsidRPr="00F30BB3">
        <w:rPr>
          <w:spacing w:val="0"/>
        </w:rPr>
        <w:tab/>
        <w:t xml:space="preserve">The State and federal governments have established rental assistance programs to assist low- and moderate-income tenants who have been adversely affected by the COVID-19 pandemic, which </w:t>
      </w:r>
      <w:r w:rsidRPr="00F30BB3">
        <w:rPr>
          <w:spacing w:val="0"/>
        </w:rPr>
        <w:lastRenderedPageBreak/>
        <w:t xml:space="preserve">programs include the COVID-19 Emergency Rental Assistance Program administered by the Department of Community Affairs.  </w:t>
      </w:r>
    </w:p>
    <w:p w14:paraId="4A339F3E"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h.</w:t>
      </w:r>
      <w:r w:rsidRPr="00F30BB3">
        <w:rPr>
          <w:spacing w:val="0"/>
        </w:rPr>
        <w:tab/>
        <w:t>However, these novel State and federal programs may be complex, making it difficult for some tenants to apply for and receive all of the benefits to which they are entitled under these programs.</w:t>
      </w:r>
    </w:p>
    <w:p w14:paraId="22761B90" w14:textId="48A7F839" w:rsid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i.</w:t>
      </w:r>
      <w:r w:rsidRPr="00F30BB3">
        <w:rPr>
          <w:spacing w:val="0"/>
        </w:rPr>
        <w:tab/>
        <w:t>Although these rental assistance programs may provide tenants with the means to pay some or all of their rental obligations, many tenants may still lack the ability needed to effectively negotiate with their landlords toward solutions that avert further legal proceedings.</w:t>
      </w:r>
    </w:p>
    <w:p w14:paraId="3D7994A9" w14:textId="1C346E3F"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j.</w:t>
      </w:r>
      <w:r w:rsidRPr="00F30BB3">
        <w:rPr>
          <w:spacing w:val="0"/>
        </w:rPr>
        <w:tab/>
        <w:t xml:space="preserve">Furthermore, when governmental assistance cannot prevent the filing of an eviction proceeding, the vast majority of tenants cannot afford to hire an attorney; in contrast, most landlords are represented by an attorney during these proceedings, given that many landlords are corporations, which are required to have counsel. </w:t>
      </w:r>
    </w:p>
    <w:p w14:paraId="7C48F9C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k.</w:t>
      </w:r>
      <w:r w:rsidRPr="00F30BB3">
        <w:rPr>
          <w:spacing w:val="0"/>
        </w:rPr>
        <w:tab/>
        <w:t>Consequently, the provision of free legal services to low- and moderate-income tenants who are in need of housing assistance, including those who are at risk of eviction and those who are entitled to governmental rental assistance, is one of the most effective ways to address the ongoing eviction crisis.</w:t>
      </w:r>
    </w:p>
    <w:p w14:paraId="16A30DBA"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l.</w:t>
      </w:r>
      <w:r w:rsidRPr="00F30BB3">
        <w:rPr>
          <w:spacing w:val="0"/>
        </w:rPr>
        <w:tab/>
        <w:t xml:space="preserve">It is therefore in the public interest and a valid public purpose for the Legislature to appropriate monies to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programs that provide free legal services to low- and moderate-income tenants who are in need of housing assistance.</w:t>
      </w:r>
    </w:p>
    <w:p w14:paraId="0852688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A104CB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2.</w:t>
      </w:r>
      <w:r w:rsidRPr="00F30BB3">
        <w:rPr>
          <w:spacing w:val="0"/>
        </w:rPr>
        <w:tab/>
        <w:t xml:space="preserve">a.  The Legislature shall annually appropriate monies for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programs that provide free legal services to low- and moderate-income tenants who are in need of housing assistance.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 xml:space="preserve">2 </w:t>
      </w:r>
      <w:r w:rsidRPr="00F30BB3">
        <w:rPr>
          <w:spacing w:val="0"/>
        </w:rPr>
        <w:t xml:space="preserve">programs shall be implemented according to guidance issued by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the Seton Hall Law School</w:t>
      </w:r>
      <w:r w:rsidRPr="00F30BB3">
        <w:rPr>
          <w:rFonts w:ascii="Albertus Extra Bold" w:hAnsi="Albertus Extra Bold"/>
          <w:b/>
        </w:rPr>
        <w:t>]</w:t>
      </w:r>
      <w:r w:rsidRPr="00F30BB3">
        <w:rPr>
          <w:spacing w:val="0"/>
        </w:rPr>
        <w:t xml:space="preserve"> </w:t>
      </w:r>
      <w:r w:rsidRPr="00F30BB3">
        <w:rPr>
          <w:spacing w:val="0"/>
          <w:u w:val="single"/>
        </w:rPr>
        <w:t>each law school, in consultation with any other law school that establishes the program</w:t>
      </w:r>
      <w:r w:rsidRPr="00F30BB3">
        <w:rPr>
          <w:rFonts w:ascii="Albertus Extra Bold" w:hAnsi="Albertus Extra Bold"/>
          <w:b/>
          <w:vertAlign w:val="superscript"/>
        </w:rPr>
        <w:t>2</w:t>
      </w:r>
      <w:r w:rsidRPr="00F30BB3">
        <w:rPr>
          <w:spacing w:val="0"/>
        </w:rPr>
        <w:t xml:space="preserve">, subject to the limitations of this section.  </w:t>
      </w:r>
    </w:p>
    <w:p w14:paraId="6E5D24E2"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(1)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shall include, but not be limited to, the provision of the following services, free of charge, to low- and moderate-income tenants:</w:t>
      </w:r>
    </w:p>
    <w:p w14:paraId="065CE8B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(a)</w:t>
      </w:r>
      <w:r w:rsidRPr="00F30BB3">
        <w:rPr>
          <w:spacing w:val="0"/>
        </w:rPr>
        <w:tab/>
        <w:t xml:space="preserve">legal counsel and representation in landlord-tenant-related litigation, including, but not limited to, eviction proceedings and actions for unpaid rent; </w:t>
      </w:r>
    </w:p>
    <w:p w14:paraId="35587CA3"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assistance applying for benefits under any State or federally funded rental assistance program, </w:t>
      </w:r>
      <w:r w:rsidRPr="00F30BB3">
        <w:rPr>
          <w:rFonts w:ascii="Albertus Extra Bold" w:hAnsi="Albertus Extra Bold"/>
          <w:b/>
          <w:vertAlign w:val="superscript"/>
        </w:rPr>
        <w:t>2</w:t>
      </w:r>
      <w:r w:rsidRPr="00F30BB3">
        <w:rPr>
          <w:spacing w:val="0"/>
          <w:u w:val="single"/>
        </w:rPr>
        <w:t>homeownership assistance program,</w:t>
      </w:r>
      <w:r w:rsidRPr="00F30BB3">
        <w:rPr>
          <w:rFonts w:ascii="Albertus Extra Bold" w:hAnsi="Albertus Extra Bold"/>
          <w:b/>
          <w:vertAlign w:val="superscript"/>
        </w:rPr>
        <w:t>2</w:t>
      </w:r>
      <w:r w:rsidRPr="00F30BB3">
        <w:rPr>
          <w:spacing w:val="0"/>
        </w:rPr>
        <w:t xml:space="preserve"> or any other program providing financial assistance to tenants impacted by the COVID-19 pandemic; </w:t>
      </w:r>
    </w:p>
    <w:p w14:paraId="1EB24FFC"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t>legal counsel and assistance related to pre- and post-litigation negotiations with landlords; and</w:t>
      </w:r>
    </w:p>
    <w:p w14:paraId="39B33710"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 xml:space="preserve">any additional services that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Seton Hall Law School</w:t>
      </w:r>
      <w:r w:rsidRPr="00F30BB3">
        <w:rPr>
          <w:rFonts w:ascii="Albertus Extra Bold" w:hAnsi="Albertus Extra Bold"/>
          <w:b/>
        </w:rPr>
        <w:t>]</w:t>
      </w:r>
      <w:r w:rsidRPr="00F30BB3">
        <w:rPr>
          <w:spacing w:val="0"/>
        </w:rPr>
        <w:t xml:space="preserve"> </w:t>
      </w:r>
      <w:r w:rsidRPr="00F30BB3">
        <w:rPr>
          <w:spacing w:val="0"/>
          <w:u w:val="single"/>
        </w:rPr>
        <w:t>law schools</w:t>
      </w:r>
      <w:r w:rsidRPr="00F30BB3">
        <w:rPr>
          <w:rFonts w:ascii="Albertus Extra Bold" w:hAnsi="Albertus Extra Bold"/>
          <w:b/>
          <w:vertAlign w:val="superscript"/>
        </w:rPr>
        <w:t>2</w:t>
      </w:r>
      <w:r w:rsidRPr="00F30BB3">
        <w:rPr>
          <w:spacing w:val="0"/>
        </w:rPr>
        <w:t xml:space="preserve"> may deem appropriate </w:t>
      </w:r>
      <w:r w:rsidRPr="00F30BB3">
        <w:rPr>
          <w:rFonts w:ascii="Albertus Extra Bold" w:hAnsi="Albertus Extra Bold"/>
          <w:b/>
          <w:vertAlign w:val="superscript"/>
        </w:rPr>
        <w:t>2</w:t>
      </w:r>
      <w:r w:rsidRPr="00F30BB3">
        <w:rPr>
          <w:spacing w:val="0"/>
          <w:u w:val="single"/>
        </w:rPr>
        <w:t>to assist low- and moderate-income tenants</w:t>
      </w:r>
      <w:r w:rsidRPr="00F30BB3">
        <w:rPr>
          <w:rFonts w:ascii="Albertus Extra Bold" w:hAnsi="Albertus Extra Bold"/>
          <w:b/>
          <w:vertAlign w:val="superscript"/>
        </w:rPr>
        <w:t>2</w:t>
      </w:r>
      <w:r w:rsidRPr="00F30BB3">
        <w:rPr>
          <w:spacing w:val="0"/>
        </w:rPr>
        <w:t>.</w:t>
      </w:r>
    </w:p>
    <w:p w14:paraId="2B54235A"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(2)</w:t>
      </w:r>
      <w:r w:rsidRPr="00F30BB3">
        <w:rPr>
          <w:spacing w:val="0"/>
        </w:rPr>
        <w:tab/>
        <w:t xml:space="preserve">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shall assist low- and moderate-income tenants residing throughout the State; provided, however, that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programs</w:t>
      </w:r>
      <w:r w:rsidRPr="00F30BB3">
        <w:rPr>
          <w:rFonts w:ascii="Albertus Extra Bold" w:hAnsi="Albertus Extra Bold"/>
          <w:b/>
          <w:vertAlign w:val="superscript"/>
        </w:rPr>
        <w:t>2</w:t>
      </w:r>
      <w:r w:rsidRPr="00F30BB3">
        <w:rPr>
          <w:spacing w:val="0"/>
        </w:rPr>
        <w:t xml:space="preserve"> shall prioritize qualifying tenants who are in need of housing assistance as a result of the COVID-19 pandemic.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programs</w:t>
      </w:r>
      <w:r w:rsidRPr="00F30BB3">
        <w:rPr>
          <w:rFonts w:ascii="Albertus Extra Bold" w:hAnsi="Albertus Extra Bold"/>
          <w:b/>
          <w:vertAlign w:val="superscript"/>
        </w:rPr>
        <w:t>2</w:t>
      </w:r>
      <w:r w:rsidRPr="00F30BB3">
        <w:rPr>
          <w:spacing w:val="0"/>
        </w:rPr>
        <w:t xml:space="preserve"> may partner with legal services organizations </w:t>
      </w:r>
      <w:r w:rsidRPr="00F30BB3">
        <w:rPr>
          <w:rFonts w:ascii="Albertus Extra Bold" w:hAnsi="Albertus Extra Bold"/>
          <w:b/>
          <w:vertAlign w:val="superscript"/>
        </w:rPr>
        <w:t>2</w:t>
      </w:r>
      <w:r w:rsidRPr="00F30BB3">
        <w:rPr>
          <w:spacing w:val="0"/>
          <w:u w:val="single"/>
        </w:rPr>
        <w:t>and community-based organizations</w:t>
      </w:r>
      <w:r w:rsidRPr="00F30BB3">
        <w:rPr>
          <w:rFonts w:ascii="Albertus Extra Bold" w:hAnsi="Albertus Extra Bold"/>
          <w:b/>
          <w:vertAlign w:val="superscript"/>
        </w:rPr>
        <w:t>2</w:t>
      </w:r>
      <w:r w:rsidRPr="00F30BB3">
        <w:rPr>
          <w:spacing w:val="0"/>
        </w:rPr>
        <w:t xml:space="preserve"> to conduct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tenant</w:t>
      </w:r>
      <w:r w:rsidRPr="00F30BB3">
        <w:rPr>
          <w:rFonts w:ascii="Albertus Extra Bold" w:hAnsi="Albertus Extra Bold"/>
          <w:b/>
        </w:rPr>
        <w:t>]</w:t>
      </w:r>
      <w:r w:rsidRPr="00F30BB3">
        <w:rPr>
          <w:spacing w:val="0"/>
        </w:rPr>
        <w:t xml:space="preserve"> </w:t>
      </w:r>
      <w:r w:rsidRPr="00F30BB3">
        <w:rPr>
          <w:spacing w:val="0"/>
          <w:u w:val="single"/>
        </w:rPr>
        <w:t>community</w:t>
      </w:r>
      <w:r w:rsidRPr="00F30BB3">
        <w:rPr>
          <w:rFonts w:ascii="Albertus Extra Bold" w:hAnsi="Albertus Extra Bold"/>
          <w:b/>
          <w:vertAlign w:val="superscript"/>
        </w:rPr>
        <w:t>2</w:t>
      </w:r>
      <w:r w:rsidRPr="00F30BB3">
        <w:rPr>
          <w:spacing w:val="0"/>
        </w:rPr>
        <w:t xml:space="preserve"> outreach. </w:t>
      </w:r>
    </w:p>
    <w:p w14:paraId="55DCF28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rFonts w:ascii="Albertus Extra Bold" w:hAnsi="Albertus Extra Bold"/>
          <w:b/>
          <w:spacing w:val="0"/>
          <w:vertAlign w:val="superscript"/>
        </w:rPr>
        <w:t>1</w:t>
      </w:r>
      <w:r w:rsidRPr="00F30BB3">
        <w:rPr>
          <w:spacing w:val="0"/>
          <w:u w:val="single"/>
        </w:rPr>
        <w:t>(3)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Seton Hall Law School</w:t>
      </w:r>
      <w:r w:rsidRPr="00F30BB3">
        <w:rPr>
          <w:rFonts w:ascii="Albertus Extra Bold" w:hAnsi="Albertus Extra Bold"/>
          <w:b/>
        </w:rPr>
        <w:t>]</w:t>
      </w:r>
      <w:r w:rsidRPr="00F30BB3">
        <w:rPr>
          <w:spacing w:val="0"/>
        </w:rPr>
        <w:t xml:space="preserve"> </w:t>
      </w:r>
      <w:r w:rsidRPr="00F30BB3">
        <w:rPr>
          <w:spacing w:val="0"/>
          <w:u w:val="single"/>
        </w:rPr>
        <w:t>law schools</w:t>
      </w:r>
      <w:r w:rsidRPr="00F30BB3">
        <w:rPr>
          <w:rFonts w:ascii="Albertus Extra Bold" w:hAnsi="Albertus Extra Bold"/>
          <w:b/>
          <w:vertAlign w:val="superscript"/>
        </w:rPr>
        <w:t>2</w:t>
      </w:r>
      <w:r w:rsidRPr="00F30BB3">
        <w:rPr>
          <w:spacing w:val="0"/>
        </w:rPr>
        <w:t xml:space="preserve"> </w:t>
      </w:r>
      <w:r w:rsidRPr="00F30BB3">
        <w:rPr>
          <w:spacing w:val="0"/>
          <w:u w:val="single"/>
        </w:rPr>
        <w:t>may designate one or more legal services organizations through which</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a</w:t>
      </w:r>
      <w:r w:rsidRPr="00F30BB3">
        <w:rPr>
          <w:rFonts w:ascii="Albertus Extra Bold" w:hAnsi="Albertus Extra Bold"/>
          <w:b/>
        </w:rPr>
        <w:t>]</w:t>
      </w:r>
      <w:r w:rsidRPr="00F30BB3">
        <w:rPr>
          <w:spacing w:val="0"/>
        </w:rPr>
        <w:t xml:space="preserve"> </w:t>
      </w:r>
      <w:r w:rsidRPr="00F30BB3">
        <w:rPr>
          <w:spacing w:val="0"/>
          <w:u w:val="single"/>
        </w:rPr>
        <w:t>the</w:t>
      </w:r>
      <w:r w:rsidRPr="00F30BB3">
        <w:rPr>
          <w:rFonts w:ascii="Albertus Extra Bold" w:hAnsi="Albertus Extra Bold"/>
          <w:b/>
          <w:vertAlign w:val="superscript"/>
        </w:rPr>
        <w:t>2</w:t>
      </w:r>
      <w:r w:rsidRPr="00F30BB3">
        <w:rPr>
          <w:spacing w:val="0"/>
        </w:rPr>
        <w:t xml:space="preserve"> </w:t>
      </w:r>
      <w:r w:rsidRPr="00F30BB3">
        <w:rPr>
          <w:spacing w:val="0"/>
          <w:u w:val="single"/>
        </w:rPr>
        <w:t>law school may implement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w:t>
      </w:r>
      <w:r w:rsidRPr="00F30BB3">
        <w:rPr>
          <w:spacing w:val="0"/>
          <w:u w:val="single"/>
        </w:rPr>
        <w:t>program, provided that the legal services organization shall have experience providing free legal services to low- and moderate-income tenants who are in need of housing assistance.</w:t>
      </w:r>
    </w:p>
    <w:p w14:paraId="18524100"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spacing w:val="0"/>
          <w:u w:val="single"/>
        </w:rPr>
        <w:t>(4)</w:t>
      </w:r>
      <w:r w:rsidRPr="00F30BB3">
        <w:rPr>
          <w:spacing w:val="0"/>
          <w:u w:val="single"/>
        </w:rPr>
        <w:tab/>
        <w:t>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w:t>
      </w:r>
      <w:r w:rsidRPr="00F30BB3">
        <w:rPr>
          <w:spacing w:val="0"/>
          <w:u w:val="single"/>
        </w:rPr>
        <w:t>may include pro bono components in which one or more services may be provided by volunteer students who do not receive course credit for participating in the program.</w:t>
      </w:r>
      <w:r w:rsidRPr="00F30BB3">
        <w:rPr>
          <w:rFonts w:ascii="Albertus Extra Bold" w:hAnsi="Albertus Extra Bold"/>
          <w:b/>
          <w:spacing w:val="0"/>
          <w:vertAlign w:val="superscript"/>
        </w:rPr>
        <w:t>1</w:t>
      </w:r>
      <w:r w:rsidRPr="00F30BB3">
        <w:rPr>
          <w:spacing w:val="0"/>
          <w:u w:val="single"/>
        </w:rPr>
        <w:t xml:space="preserve">  </w:t>
      </w:r>
    </w:p>
    <w:p w14:paraId="269469CE"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r>
      <w:r w:rsidRPr="00F30BB3">
        <w:rPr>
          <w:rFonts w:ascii="Albertus Extra Bold" w:hAnsi="Albertus Extra Bold"/>
          <w:b/>
          <w:spacing w:val="0"/>
          <w:vertAlign w:val="superscript"/>
        </w:rPr>
        <w:t>1</w:t>
      </w:r>
      <w:r w:rsidRPr="00F30BB3">
        <w:rPr>
          <w:spacing w:val="0"/>
          <w:u w:val="single"/>
        </w:rPr>
        <w:t>(1)</w:t>
      </w:r>
      <w:r w:rsidRPr="00F30BB3">
        <w:rPr>
          <w:rFonts w:ascii="Albertus Extra Bold" w:hAnsi="Albertus Extra Bold"/>
          <w:b/>
          <w:spacing w:val="0"/>
          <w:vertAlign w:val="superscript"/>
        </w:rPr>
        <w:t>1</w:t>
      </w:r>
      <w:r w:rsidRPr="00F30BB3">
        <w:rPr>
          <w:spacing w:val="0"/>
        </w:rPr>
        <w:t xml:space="preserve">  If a law school elects to implement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the law school shall designate a licensed attorney in good standing, with experience in landlord-tenant law and civil litigation matters, to supervise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program.  The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program supervisor shall select a paralegal to support the clinical program, which person shall also provide translation services, as needed under</w:t>
      </w:r>
      <w:r w:rsidRPr="00F30BB3">
        <w:rPr>
          <w:rFonts w:ascii="Albertus Extra Bold" w:hAnsi="Albertus Extra Bold"/>
          <w:b/>
          <w:spacing w:val="0"/>
        </w:rPr>
        <w:t>]</w:t>
      </w:r>
      <w:r w:rsidRPr="00F30BB3">
        <w:rPr>
          <w:spacing w:val="0"/>
        </w:rPr>
        <w:t xml:space="preserve"> </w:t>
      </w:r>
      <w:r w:rsidRPr="00F30BB3">
        <w:rPr>
          <w:spacing w:val="0"/>
          <w:u w:val="single"/>
        </w:rPr>
        <w:t>law school may hire such administrative staff as may be needed to support</w:t>
      </w:r>
      <w:r w:rsidRPr="00F30BB3">
        <w:rPr>
          <w:rFonts w:ascii="Albertus Extra Bold" w:hAnsi="Albertus Extra Bold"/>
          <w:b/>
          <w:spacing w:val="0"/>
          <w:vertAlign w:val="superscript"/>
        </w:rPr>
        <w:t>1</w:t>
      </w:r>
      <w:r w:rsidRPr="00F30BB3">
        <w:rPr>
          <w:spacing w:val="0"/>
        </w:rPr>
        <w:t xml:space="preserve"> the program.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All students selected to participate in the clinical program shall be third-year law students.</w:t>
      </w:r>
      <w:r w:rsidRPr="00F30BB3">
        <w:rPr>
          <w:rFonts w:ascii="Albertus Extra Bold" w:hAnsi="Albertus Extra Bold"/>
          <w:b/>
          <w:spacing w:val="0"/>
        </w:rPr>
        <w:t>]</w:t>
      </w:r>
      <w:r w:rsidRPr="00F30BB3">
        <w:rPr>
          <w:rFonts w:ascii="Albertus Extra Bold" w:hAnsi="Albertus Extra Bold"/>
          <w:b/>
          <w:spacing w:val="0"/>
          <w:vertAlign w:val="superscript"/>
        </w:rPr>
        <w:t>1</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The</w:t>
      </w:r>
      <w:r w:rsidRPr="00F30BB3">
        <w:rPr>
          <w:rFonts w:ascii="Albertus Extra Bold" w:hAnsi="Albertus Extra Bold"/>
          <w:b/>
        </w:rPr>
        <w:t>]</w:t>
      </w:r>
      <w:r w:rsidRPr="00F30BB3">
        <w:rPr>
          <w:spacing w:val="0"/>
        </w:rPr>
        <w:t xml:space="preserve"> </w:t>
      </w:r>
      <w:r w:rsidRPr="00F30BB3">
        <w:rPr>
          <w:spacing w:val="0"/>
          <w:u w:val="single"/>
        </w:rPr>
        <w:t>To support the operations of the program, the</w:t>
      </w:r>
      <w:r w:rsidRPr="00F30BB3">
        <w:rPr>
          <w:rFonts w:ascii="Albertus Extra Bold" w:hAnsi="Albertus Extra Bold"/>
          <w:b/>
          <w:vertAlign w:val="superscript"/>
        </w:rPr>
        <w:t>2</w:t>
      </w:r>
      <w:r w:rsidRPr="00F30BB3">
        <w:rPr>
          <w:spacing w:val="0"/>
        </w:rPr>
        <w:t xml:space="preserve"> law school may also hire </w:t>
      </w:r>
      <w:r w:rsidRPr="00F30BB3">
        <w:rPr>
          <w:rFonts w:ascii="Albertus Extra Bold" w:hAnsi="Albertus Extra Bold"/>
          <w:b/>
          <w:vertAlign w:val="superscript"/>
        </w:rPr>
        <w:t>2</w:t>
      </w:r>
      <w:r w:rsidRPr="00F30BB3">
        <w:rPr>
          <w:spacing w:val="0"/>
          <w:u w:val="single"/>
        </w:rPr>
        <w:t>:</w:t>
      </w:r>
    </w:p>
    <w:p w14:paraId="26ABBE4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spacing w:val="0"/>
          <w:u w:val="single"/>
        </w:rPr>
        <w:t>(a)</w:t>
      </w:r>
      <w:r w:rsidRPr="00F30BB3">
        <w:rPr>
          <w:rFonts w:ascii="Albertus Extra Bold" w:hAnsi="Albertus Extra Bold"/>
          <w:b/>
          <w:vertAlign w:val="superscript"/>
        </w:rPr>
        <w:t>2</w:t>
      </w:r>
      <w:r w:rsidRPr="00F30BB3">
        <w:rPr>
          <w:spacing w:val="0"/>
        </w:rPr>
        <w:t xml:space="preserve"> one or more licensed attorneys in good standing, with experience in landlord-tenant law and civil litigation matters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 to support the operations of the clinical program</w:t>
      </w:r>
      <w:r w:rsidRPr="00F30BB3">
        <w:rPr>
          <w:rFonts w:ascii="Albertus Extra Bold" w:hAnsi="Albertus Extra Bold"/>
          <w:b/>
        </w:rPr>
        <w:t>]</w:t>
      </w:r>
      <w:r w:rsidRPr="00F30BB3">
        <w:rPr>
          <w:spacing w:val="0"/>
        </w:rPr>
        <w:t xml:space="preserve"> </w:t>
      </w:r>
      <w:r w:rsidRPr="00F30BB3">
        <w:rPr>
          <w:spacing w:val="0"/>
          <w:u w:val="single"/>
        </w:rPr>
        <w:t>; and</w:t>
      </w:r>
    </w:p>
    <w:p w14:paraId="25AF9DB5"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r>
      <w:r w:rsidRPr="00F30BB3">
        <w:rPr>
          <w:spacing w:val="0"/>
          <w:u w:val="single"/>
        </w:rPr>
        <w:t>(b)  one or more recent law school graduates who are not admitted to the New Jersey State Bar Association but who are permitted to practice law in the State pursuant to the Rules of Court, provided that each graduate shall practice under the supervision of an experienced attorney as required by those Rules</w:t>
      </w:r>
      <w:r w:rsidRPr="00F30BB3">
        <w:rPr>
          <w:rFonts w:ascii="Albertus Extra Bold" w:hAnsi="Albertus Extra Bold"/>
          <w:b/>
          <w:vertAlign w:val="superscript"/>
        </w:rPr>
        <w:t>2</w:t>
      </w:r>
      <w:r w:rsidRPr="00F30BB3">
        <w:rPr>
          <w:spacing w:val="0"/>
        </w:rPr>
        <w:t>.</w:t>
      </w:r>
    </w:p>
    <w:p w14:paraId="5D420284"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30BB3">
        <w:rPr>
          <w:spacing w:val="0"/>
        </w:rPr>
        <w:tab/>
      </w:r>
      <w:r w:rsidRPr="00F30BB3">
        <w:rPr>
          <w:rFonts w:ascii="Albertus Extra Bold" w:hAnsi="Albertus Extra Bold"/>
          <w:b/>
          <w:spacing w:val="0"/>
          <w:vertAlign w:val="superscript"/>
        </w:rPr>
        <w:t>1</w:t>
      </w:r>
      <w:r w:rsidRPr="00F30BB3">
        <w:rPr>
          <w:spacing w:val="0"/>
          <w:u w:val="single"/>
        </w:rPr>
        <w:t>(2)  If a law school elects to implement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w:t>
      </w:r>
      <w:r w:rsidRPr="00F30BB3">
        <w:rPr>
          <w:spacing w:val="0"/>
          <w:u w:val="single"/>
        </w:rPr>
        <w:t xml:space="preserve">program through a designated legal services organization, then subject to the availability of funds, the law school shall provide </w:t>
      </w:r>
      <w:proofErr w:type="spellStart"/>
      <w:r w:rsidRPr="00F30BB3">
        <w:rPr>
          <w:spacing w:val="0"/>
          <w:u w:val="single"/>
        </w:rPr>
        <w:t>subgrants</w:t>
      </w:r>
      <w:proofErr w:type="spellEnd"/>
      <w:r w:rsidRPr="00F30BB3">
        <w:rPr>
          <w:spacing w:val="0"/>
          <w:u w:val="single"/>
        </w:rPr>
        <w:t xml:space="preserve"> to the legal services organization to defray the costs of the program.  When implementing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w:t>
      </w:r>
      <w:r w:rsidRPr="00F30BB3">
        <w:rPr>
          <w:spacing w:val="0"/>
          <w:u w:val="single"/>
        </w:rPr>
        <w:t>program, the designated legal services organization shall allow all students selected by the law school to participate in the program.</w:t>
      </w:r>
      <w:r w:rsidRPr="00F30BB3">
        <w:rPr>
          <w:rFonts w:ascii="Albertus Extra Bold" w:hAnsi="Albertus Extra Bold"/>
          <w:b/>
          <w:spacing w:val="0"/>
          <w:vertAlign w:val="superscript"/>
        </w:rPr>
        <w:t>1</w:t>
      </w:r>
    </w:p>
    <w:p w14:paraId="48677305"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 xml:space="preserve">Before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may commence operations, the law school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shall</w:t>
      </w:r>
      <w:r w:rsidRPr="00F30BB3">
        <w:rPr>
          <w:rFonts w:ascii="Albertus Extra Bold" w:hAnsi="Albertus Extra Bold"/>
          <w:b/>
          <w:spacing w:val="0"/>
        </w:rPr>
        <w:t>]</w:t>
      </w:r>
      <w:r w:rsidRPr="00F30BB3">
        <w:rPr>
          <w:spacing w:val="0"/>
        </w:rPr>
        <w:t xml:space="preserve"> </w:t>
      </w:r>
      <w:r w:rsidRPr="00F30BB3">
        <w:rPr>
          <w:spacing w:val="0"/>
          <w:u w:val="single"/>
        </w:rPr>
        <w:t>may</w:t>
      </w:r>
      <w:r w:rsidRPr="00F30BB3">
        <w:rPr>
          <w:rFonts w:ascii="Albertus Extra Bold" w:hAnsi="Albertus Extra Bold"/>
          <w:b/>
          <w:spacing w:val="0"/>
          <w:vertAlign w:val="superscript"/>
        </w:rPr>
        <w:t>1</w:t>
      </w:r>
      <w:r w:rsidRPr="00F30BB3">
        <w:rPr>
          <w:spacing w:val="0"/>
        </w:rPr>
        <w:t xml:space="preserve"> submit an appropriate application, as required under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New Jersey Court Rules</w:t>
      </w:r>
      <w:r w:rsidRPr="00F30BB3">
        <w:rPr>
          <w:rFonts w:ascii="Albertus Extra Bold" w:hAnsi="Albertus Extra Bold"/>
          <w:b/>
          <w:spacing w:val="0"/>
        </w:rPr>
        <w:t>]</w:t>
      </w:r>
      <w:r w:rsidRPr="00F30BB3">
        <w:rPr>
          <w:spacing w:val="0"/>
        </w:rPr>
        <w:t xml:space="preserve"> </w:t>
      </w:r>
      <w:r w:rsidRPr="00F30BB3">
        <w:rPr>
          <w:spacing w:val="0"/>
          <w:u w:val="single"/>
        </w:rPr>
        <w:t>the Rules of Court</w:t>
      </w:r>
      <w:r w:rsidRPr="00F30BB3">
        <w:rPr>
          <w:rFonts w:ascii="Albertus Extra Bold" w:hAnsi="Albertus Extra Bold"/>
          <w:b/>
          <w:spacing w:val="0"/>
          <w:vertAlign w:val="superscript"/>
        </w:rPr>
        <w:t>1</w:t>
      </w:r>
      <w:r w:rsidRPr="00F30BB3">
        <w:rPr>
          <w:spacing w:val="0"/>
        </w:rPr>
        <w:t xml:space="preserve">, in order to become a certified clinical program under those rules.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The</w:t>
      </w:r>
      <w:r w:rsidRPr="00F30BB3">
        <w:rPr>
          <w:rFonts w:ascii="Albertus Extra Bold" w:hAnsi="Albertus Extra Bold"/>
          <w:b/>
          <w:spacing w:val="0"/>
        </w:rPr>
        <w:t>]</w:t>
      </w:r>
      <w:r w:rsidRPr="00F30BB3">
        <w:rPr>
          <w:spacing w:val="0"/>
        </w:rPr>
        <w:t xml:space="preserve"> </w:t>
      </w:r>
      <w:r w:rsidRPr="00F30BB3">
        <w:rPr>
          <w:spacing w:val="0"/>
          <w:u w:val="single"/>
        </w:rPr>
        <w:t>Alternatively, the law school may provide some or all services through an existing clinical program, which has already been certified under the Rules of Court.  In either circumstance, the</w:t>
      </w:r>
      <w:r w:rsidRPr="00F30BB3">
        <w:rPr>
          <w:rFonts w:ascii="Albertus Extra Bold" w:hAnsi="Albertus Extra Bold"/>
          <w:b/>
          <w:spacing w:val="0"/>
          <w:vertAlign w:val="superscript"/>
        </w:rPr>
        <w:t>1</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shall comply with all requirements of the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New Jersey Court</w:t>
      </w:r>
      <w:r w:rsidRPr="00F30BB3">
        <w:rPr>
          <w:rFonts w:ascii="Albertus Extra Bold" w:hAnsi="Albertus Extra Bold"/>
          <w:b/>
          <w:spacing w:val="0"/>
        </w:rPr>
        <w:t>]</w:t>
      </w:r>
      <w:r w:rsidRPr="00F30BB3">
        <w:rPr>
          <w:rFonts w:ascii="Albertus Extra Bold" w:hAnsi="Albertus Extra Bold"/>
          <w:b/>
          <w:spacing w:val="0"/>
          <w:vertAlign w:val="superscript"/>
        </w:rPr>
        <w:t>1</w:t>
      </w:r>
      <w:r w:rsidRPr="00F30BB3">
        <w:rPr>
          <w:spacing w:val="0"/>
        </w:rPr>
        <w:t xml:space="preserve"> Rules </w:t>
      </w:r>
      <w:r w:rsidRPr="00F30BB3">
        <w:rPr>
          <w:rFonts w:ascii="Albertus Extra Bold" w:hAnsi="Albertus Extra Bold"/>
          <w:b/>
          <w:spacing w:val="0"/>
          <w:vertAlign w:val="superscript"/>
        </w:rPr>
        <w:t>1</w:t>
      </w:r>
      <w:r w:rsidRPr="00F30BB3">
        <w:rPr>
          <w:spacing w:val="0"/>
          <w:u w:val="single"/>
        </w:rPr>
        <w:t>of Court</w:t>
      </w:r>
      <w:r w:rsidRPr="00F30BB3">
        <w:rPr>
          <w:rFonts w:ascii="Albertus Extra Bold" w:hAnsi="Albertus Extra Bold"/>
          <w:b/>
          <w:spacing w:val="0"/>
          <w:vertAlign w:val="superscript"/>
        </w:rPr>
        <w:t>1</w:t>
      </w:r>
      <w:r w:rsidRPr="00F30BB3">
        <w:rPr>
          <w:spacing w:val="0"/>
        </w:rPr>
        <w:t xml:space="preserve"> concerning the implementation of a clinical </w:t>
      </w:r>
      <w:r w:rsidRPr="00F30BB3">
        <w:rPr>
          <w:rFonts w:ascii="Albertus Extra Bold" w:hAnsi="Albertus Extra Bold"/>
          <w:b/>
          <w:vertAlign w:val="superscript"/>
        </w:rPr>
        <w:t>2</w:t>
      </w:r>
      <w:r w:rsidRPr="00F30BB3">
        <w:rPr>
          <w:spacing w:val="0"/>
          <w:u w:val="single"/>
        </w:rPr>
        <w:t>or pro bono</w:t>
      </w:r>
      <w:r w:rsidRPr="00F30BB3">
        <w:rPr>
          <w:rFonts w:ascii="Albertus Extra Bold" w:hAnsi="Albertus Extra Bold"/>
          <w:b/>
          <w:vertAlign w:val="superscript"/>
        </w:rPr>
        <w:t>2</w:t>
      </w:r>
      <w:r w:rsidRPr="00F30BB3">
        <w:rPr>
          <w:spacing w:val="0"/>
        </w:rPr>
        <w:t xml:space="preserve"> program and the representation of litigants by law students.</w:t>
      </w:r>
    </w:p>
    <w:p w14:paraId="43B46454"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e.</w:t>
      </w:r>
      <w:r w:rsidRPr="00F30BB3">
        <w:rPr>
          <w:spacing w:val="0"/>
        </w:rPr>
        <w:tab/>
        <w:t xml:space="preserve">After the first year of operations, and each year thereafter, the Seton Hall Law School shall submit a report to the Governor and to the Legislature, pursuant to section 2 of P.L.1991, c.164 (C.52:14-19.1), detailing the operations of each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established pursuant to this section.  At a minimum, the report shall indicate the number of tenants who received assistance through each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program and the service provided to each tenant.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shall provide Seton Hall Law School with any information necessary to complete the report.</w:t>
      </w:r>
    </w:p>
    <w:p w14:paraId="7A79B85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f.</w:t>
      </w:r>
      <w:r w:rsidRPr="00F30BB3">
        <w:rPr>
          <w:spacing w:val="0"/>
        </w:rPr>
        <w:tab/>
        <w:t xml:space="preserve">Nothing in this section shall be construed as requiring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or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or implement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w:t>
      </w:r>
    </w:p>
    <w:p w14:paraId="2AA2BD6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749C8A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3.</w:t>
      </w:r>
      <w:r w:rsidRPr="00F30BB3">
        <w:rPr>
          <w:spacing w:val="0"/>
        </w:rPr>
        <w:tab/>
        <w:t xml:space="preserve">a.  (1)  There is appropriated $575,000 from the General Fund to the Department of the Treasury for allocation to the Seton Hall Law School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    , c.    (C.        ) (pending before the Legislature as this bill).</w:t>
      </w:r>
    </w:p>
    <w:p w14:paraId="14A472BC"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(2)  There is appropriated $275,000 from the General Fund to the Department of the Treasury for allocation to the Seton Hall Law School to support the preparation of training materials and the training of students </w:t>
      </w:r>
      <w:r w:rsidRPr="00F30BB3">
        <w:rPr>
          <w:rFonts w:ascii="Albertus Extra Bold" w:hAnsi="Albertus Extra Bold"/>
          <w:b/>
          <w:vertAlign w:val="superscript"/>
        </w:rPr>
        <w:t>2</w:t>
      </w:r>
      <w:r w:rsidRPr="00F30BB3">
        <w:rPr>
          <w:spacing w:val="0"/>
          <w:u w:val="single"/>
        </w:rPr>
        <w:t>and law school graduates</w:t>
      </w:r>
      <w:r w:rsidRPr="00F30BB3">
        <w:rPr>
          <w:rFonts w:ascii="Albertus Extra Bold" w:hAnsi="Albertus Extra Bold"/>
          <w:b/>
          <w:vertAlign w:val="superscript"/>
        </w:rPr>
        <w:t>2</w:t>
      </w:r>
      <w:r w:rsidRPr="00F30BB3">
        <w:rPr>
          <w:spacing w:val="0"/>
        </w:rPr>
        <w:t xml:space="preserve">, in collaboration with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Newark location,</w:t>
      </w:r>
      <w:r w:rsidRPr="00F30BB3">
        <w:rPr>
          <w:rFonts w:ascii="Albertus Extra Bold" w:hAnsi="Albertus Extra Bold"/>
          <w:b/>
          <w:vertAlign w:val="superscript"/>
        </w:rPr>
        <w:t>2</w:t>
      </w:r>
      <w:r w:rsidRPr="00F30BB3">
        <w:rPr>
          <w:spacing w:val="0"/>
        </w:rPr>
        <w:t xml:space="preserve"> selected to participate in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    , c.    (C.       ) (pending before the Legislature as this bill).</w:t>
      </w:r>
    </w:p>
    <w:p w14:paraId="03D260A1" w14:textId="58ABB970"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(3)  There is appropriated $575,000 from the General Fund to the Department of the State for allocation to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w:t>
      </w:r>
      <w:r>
        <w:rPr>
          <w:spacing w:val="0"/>
        </w:rPr>
        <w:t>    </w:t>
      </w:r>
      <w:r w:rsidRPr="00F30BB3">
        <w:rPr>
          <w:spacing w:val="0"/>
        </w:rPr>
        <w:t>, c.    (C.        ) (pending before the Legislature as this bill).</w:t>
      </w:r>
    </w:p>
    <w:p w14:paraId="38D1BB28" w14:textId="2F2AAC50"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(4)  There is appropriated $575,000 from the General Fund to the Department of the State for allocation to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w:t>
      </w:r>
      <w:r>
        <w:rPr>
          <w:spacing w:val="0"/>
        </w:rPr>
        <w:t>    </w:t>
      </w:r>
      <w:r w:rsidRPr="00F30BB3">
        <w:rPr>
          <w:spacing w:val="0"/>
        </w:rPr>
        <w:t>, c.    (C.        ) (pending before the Legislature as this bill).</w:t>
      </w:r>
    </w:p>
    <w:p w14:paraId="6105CFFC" w14:textId="39247AC5"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If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or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does not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pursuant to section 2 of P.L.    , c.    (C.</w:t>
      </w:r>
      <w:r>
        <w:rPr>
          <w:spacing w:val="0"/>
        </w:rPr>
        <w:t>        </w:t>
      </w:r>
      <w:r w:rsidRPr="00F30BB3">
        <w:rPr>
          <w:spacing w:val="0"/>
        </w:rPr>
        <w:t xml:space="preserve">) (pending before the Legislature as this bill), then the amounts hereinabove appropriated for the law school shall be transferred to the other participating law schools in equal amounts. </w:t>
      </w:r>
    </w:p>
    <w:p w14:paraId="3AAF3181" w14:textId="3708EA50" w:rsidR="007574E8" w:rsidRPr="00755419" w:rsidRDefault="00F30BB3" w:rsidP="00F30BB3">
      <w:pPr>
        <w:rPr>
          <w:rFonts w:ascii="Albertus Extra Bold" w:hAnsi="Albertus Extra Bold"/>
          <w:b/>
          <w:vertAlign w:val="superscript"/>
        </w:rPr>
      </w:pPr>
      <w:r w:rsidRPr="00F30BB3">
        <w:rPr>
          <w:spacing w:val="0"/>
        </w:rPr>
        <w:tab/>
      </w:r>
      <w:r w:rsidRPr="00F30BB3">
        <w:rPr>
          <w:rFonts w:ascii="Albertus Extra Bold" w:hAnsi="Albertus Extra Bold"/>
          <w:b/>
          <w:spacing w:val="0"/>
          <w:vertAlign w:val="superscript"/>
        </w:rPr>
        <w:t>1</w:t>
      </w:r>
      <w:r w:rsidRPr="00F30BB3">
        <w:rPr>
          <w:spacing w:val="0"/>
          <w:u w:val="single"/>
        </w:rPr>
        <w:t>c.</w:t>
      </w:r>
      <w:r w:rsidRPr="00F30BB3">
        <w:rPr>
          <w:spacing w:val="0"/>
          <w:u w:val="single"/>
        </w:rPr>
        <w:tab/>
        <w:t>The unexpended balance of any amount appropriated pursuant to this section shall be appropriated for the same purpose during the succeeding fiscal year.</w:t>
      </w:r>
      <w:r w:rsidRPr="00F30BB3">
        <w:rPr>
          <w:rFonts w:ascii="Albertus Extra Bold" w:hAnsi="Albertus Extra Bold"/>
          <w:b/>
          <w:spacing w:val="0"/>
          <w:vertAlign w:val="superscript"/>
        </w:rPr>
        <w:t>1</w:t>
      </w:r>
    </w:p>
    <w:p w14:paraId="69FFB5E7" w14:textId="77777777" w:rsidR="00320786" w:rsidRDefault="00320786" w:rsidP="00686AEB"/>
    <w:p w14:paraId="11F25CA7" w14:textId="5B6DA04E" w:rsidR="00686AEB" w:rsidRDefault="00686AEB" w:rsidP="00686AEB">
      <w:r>
        <w:tab/>
      </w:r>
      <w:r w:rsidR="003940CF">
        <w:t>4</w:t>
      </w:r>
      <w:r w:rsidR="00320786">
        <w:t>.</w:t>
      </w:r>
      <w:r w:rsidR="00320786">
        <w:tab/>
      </w:r>
      <w:r w:rsidR="00D067B4">
        <w:t>This act shall take effect</w:t>
      </w:r>
      <w:r w:rsidR="00320786">
        <w:t xml:space="preserve"> immediately.</w:t>
      </w:r>
    </w:p>
    <w:p w14:paraId="17ABC6E0" w14:textId="3ED866AA" w:rsidR="00067458" w:rsidRDefault="00067458" w:rsidP="00686AEB"/>
    <w:p w14:paraId="0EE751A4" w14:textId="767DB31E" w:rsidR="00067458" w:rsidRDefault="00067458" w:rsidP="00686AEB"/>
    <w:p w14:paraId="4F4D7F48" w14:textId="111CFDA3" w:rsidR="00067458" w:rsidRDefault="00067458" w:rsidP="00067458">
      <w:pPr>
        <w:jc w:val="center"/>
      </w:pPr>
      <w:r>
        <w:rPr>
          <w:u w:val="single"/>
        </w:rPr>
        <w:t>                                </w:t>
      </w:r>
    </w:p>
    <w:p w14:paraId="203B0ABE" w14:textId="333874A6" w:rsidR="00067458" w:rsidRDefault="00067458" w:rsidP="00067458">
      <w:pPr>
        <w:jc w:val="center"/>
      </w:pPr>
    </w:p>
    <w:p w14:paraId="17DFDC93" w14:textId="084AFAC8" w:rsidR="00067458" w:rsidRPr="00067458" w:rsidRDefault="00067458" w:rsidP="00DD25F1">
      <w:bookmarkStart w:id="1" w:name="_GoBack"/>
      <w:bookmarkEnd w:id="1"/>
      <w:r>
        <w:tab/>
        <w:t>Provides funding for experiential housing advocacy programs to provide legal services for low- and moderate-income tenants in need of housing assistance; appropriates $2 million.</w:t>
      </w:r>
    </w:p>
    <w:sectPr w:rsidR="00067458" w:rsidRPr="00067458" w:rsidSect="00067458">
      <w:headerReference w:type="default" r:id="rId9"/>
      <w:footerReference w:type="default" r:id="rId10"/>
      <w:type w:val="continuous"/>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9596D" w14:textId="77777777" w:rsidR="00804D69" w:rsidRDefault="00804D69">
      <w:r>
        <w:separator/>
      </w:r>
    </w:p>
  </w:endnote>
  <w:endnote w:type="continuationSeparator" w:id="0">
    <w:p w14:paraId="4EBFE5B3" w14:textId="77777777" w:rsidR="00804D69" w:rsidRDefault="008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8F741" w14:textId="77777777" w:rsidR="007574E8" w:rsidRPr="00921C91" w:rsidRDefault="00757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824A82" w14:textId="77777777" w:rsidR="007574E8" w:rsidRPr="00921C91" w:rsidRDefault="007574E8">
    <w:pPr>
      <w:pStyle w:val="Footer"/>
      <w:rPr>
        <w:szCs w:val="18"/>
      </w:rPr>
    </w:pPr>
  </w:p>
  <w:p w14:paraId="18714B86" w14:textId="77777777" w:rsidR="007574E8" w:rsidRPr="00921C91" w:rsidRDefault="00757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0A8F78F" w14:textId="6563CBB0" w:rsidR="007574E8" w:rsidRDefault="007574E8" w:rsidP="00686AEB">
    <w:pPr>
      <w:pStyle w:val="Footer"/>
    </w:pPr>
    <w:r>
      <w:tab/>
      <w:t>Matter enclosed in superscript numerals has been adopted as follows:</w:t>
    </w:r>
  </w:p>
  <w:p w14:paraId="408A01C5" w14:textId="044F37CE" w:rsidR="007574E8" w:rsidRDefault="007574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14:paraId="6E1C8D3C" w14:textId="4F6E46A0" w:rsidR="007574E8" w:rsidRDefault="00F30BB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SCU committee amendments adopted June 10,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0BBF2" w14:textId="77777777" w:rsidR="00067458" w:rsidRDefault="00067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11DF" w14:textId="77777777" w:rsidR="00804D69" w:rsidRDefault="00804D69">
      <w:r>
        <w:separator/>
      </w:r>
    </w:p>
  </w:footnote>
  <w:footnote w:type="continuationSeparator" w:id="0">
    <w:p w14:paraId="6F957B53" w14:textId="77777777" w:rsidR="00804D69" w:rsidRDefault="0080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24AD1" w14:textId="70034B54" w:rsidR="00665CBC" w:rsidRDefault="00665CBC" w:rsidP="00686AEB">
    <w:pPr>
      <w:pStyle w:val="Header"/>
      <w:jc w:val="center"/>
      <w:rPr>
        <w:rStyle w:val="PageNumber"/>
      </w:rPr>
    </w:pPr>
  </w:p>
  <w:p w14:paraId="496DD232" w14:textId="2571CBDD" w:rsidR="00797F20" w:rsidRDefault="00797F20" w:rsidP="00797F20">
    <w:pPr>
      <w:pStyle w:val="bpuHeadSpon"/>
    </w:pPr>
    <w:r w:rsidRPr="00797F20">
      <w:rPr>
        <w:rStyle w:val="bpuHeadSponChar"/>
      </w:rPr>
      <w:t>A5758</w:t>
    </w:r>
    <w:r>
      <w:t xml:space="preserve"> </w:t>
    </w:r>
    <w:r w:rsidR="00F30BB3">
      <w:t>[2R]</w:t>
    </w:r>
    <w:r w:rsidR="007574E8">
      <w:t xml:space="preserve"> </w:t>
    </w:r>
    <w:r>
      <w:t>COUGHLIN</w:t>
    </w:r>
    <w:r w:rsidR="00592D50">
      <w:t>, CHIARAVALLOTI</w:t>
    </w:r>
  </w:p>
  <w:p w14:paraId="745FBB55" w14:textId="4DFD320A" w:rsidR="00797F20" w:rsidRDefault="00797F20" w:rsidP="00797F20">
    <w:pPr>
      <w:pStyle w:val="bpuHeadSpon"/>
    </w:pPr>
    <w:r>
      <w:fldChar w:fldCharType="begin"/>
    </w:r>
    <w:r>
      <w:instrText xml:space="preserve"> PAGE  \* MERGEFORMAT </w:instrText>
    </w:r>
    <w:r>
      <w:fldChar w:fldCharType="separate"/>
    </w:r>
    <w:r w:rsidR="00067458">
      <w:rPr>
        <w:noProof/>
      </w:rPr>
      <w:t>2</w:t>
    </w:r>
    <w:r>
      <w:fldChar w:fldCharType="end"/>
    </w:r>
  </w:p>
  <w:p w14:paraId="077FB1C0" w14:textId="77777777" w:rsidR="00797F20" w:rsidRDefault="00797F20" w:rsidP="00797F2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E2A89" w14:textId="77777777" w:rsidR="00067458" w:rsidRDefault="00067458" w:rsidP="00686AEB">
    <w:pPr>
      <w:pStyle w:val="Header"/>
      <w:jc w:val="center"/>
      <w:rPr>
        <w:rStyle w:val="PageNumber"/>
      </w:rPr>
    </w:pPr>
  </w:p>
  <w:p w14:paraId="0052AEC7" w14:textId="416B1340" w:rsidR="00067458" w:rsidRDefault="00067458" w:rsidP="00797F20">
    <w:pPr>
      <w:pStyle w:val="bpuHeadSpon"/>
    </w:pPr>
    <w:r w:rsidRPr="00797F20">
      <w:rPr>
        <w:rStyle w:val="bpuHeadSponChar"/>
      </w:rPr>
      <w:t>A5758</w:t>
    </w:r>
    <w:r>
      <w:t xml:space="preserve"> [2R]</w:t>
    </w:r>
  </w:p>
  <w:p w14:paraId="7F07B612" w14:textId="568039CF" w:rsidR="00067458" w:rsidRDefault="00067458" w:rsidP="00797F20">
    <w:pPr>
      <w:pStyle w:val="bpuHeadSpon"/>
    </w:pPr>
    <w:r>
      <w:fldChar w:fldCharType="begin"/>
    </w:r>
    <w:r>
      <w:instrText xml:space="preserve"> PAGE  \* MERGEFORMAT </w:instrText>
    </w:r>
    <w:r>
      <w:fldChar w:fldCharType="separate"/>
    </w:r>
    <w:r w:rsidR="008A142E">
      <w:rPr>
        <w:noProof/>
      </w:rPr>
      <w:t>5</w:t>
    </w:r>
    <w:r>
      <w:fldChar w:fldCharType="end"/>
    </w:r>
  </w:p>
  <w:p w14:paraId="65E0D011" w14:textId="77777777" w:rsidR="00067458" w:rsidRDefault="00067458" w:rsidP="00797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69"/>
    <w:rsid w:val="000051BD"/>
    <w:rsid w:val="000160A5"/>
    <w:rsid w:val="0002335B"/>
    <w:rsid w:val="0003549A"/>
    <w:rsid w:val="000367AE"/>
    <w:rsid w:val="000420CE"/>
    <w:rsid w:val="00043B22"/>
    <w:rsid w:val="000522E2"/>
    <w:rsid w:val="00054975"/>
    <w:rsid w:val="00057D20"/>
    <w:rsid w:val="0006197C"/>
    <w:rsid w:val="0006281F"/>
    <w:rsid w:val="00067458"/>
    <w:rsid w:val="0008141C"/>
    <w:rsid w:val="00084AF3"/>
    <w:rsid w:val="00084BCD"/>
    <w:rsid w:val="00092F6B"/>
    <w:rsid w:val="00094274"/>
    <w:rsid w:val="00094A55"/>
    <w:rsid w:val="000A44A7"/>
    <w:rsid w:val="000B1054"/>
    <w:rsid w:val="000B3411"/>
    <w:rsid w:val="000C054C"/>
    <w:rsid w:val="000C0F84"/>
    <w:rsid w:val="000C12C2"/>
    <w:rsid w:val="000C5038"/>
    <w:rsid w:val="000D11AF"/>
    <w:rsid w:val="000D6255"/>
    <w:rsid w:val="000D6262"/>
    <w:rsid w:val="000D7B4A"/>
    <w:rsid w:val="000E4006"/>
    <w:rsid w:val="000E75DD"/>
    <w:rsid w:val="000F2317"/>
    <w:rsid w:val="000F3DA2"/>
    <w:rsid w:val="000F5FDE"/>
    <w:rsid w:val="000F7466"/>
    <w:rsid w:val="00111B98"/>
    <w:rsid w:val="0013000E"/>
    <w:rsid w:val="001327BD"/>
    <w:rsid w:val="00133F81"/>
    <w:rsid w:val="00135943"/>
    <w:rsid w:val="001438D5"/>
    <w:rsid w:val="0014664C"/>
    <w:rsid w:val="001645FB"/>
    <w:rsid w:val="00173D2B"/>
    <w:rsid w:val="00181676"/>
    <w:rsid w:val="00183603"/>
    <w:rsid w:val="0018410E"/>
    <w:rsid w:val="00194E78"/>
    <w:rsid w:val="0019707B"/>
    <w:rsid w:val="00197E8B"/>
    <w:rsid w:val="00197FA4"/>
    <w:rsid w:val="001A161A"/>
    <w:rsid w:val="001A3B79"/>
    <w:rsid w:val="001A5D7A"/>
    <w:rsid w:val="001A66B6"/>
    <w:rsid w:val="001B4716"/>
    <w:rsid w:val="001B4EA4"/>
    <w:rsid w:val="001C7C52"/>
    <w:rsid w:val="001D25F3"/>
    <w:rsid w:val="001E15F1"/>
    <w:rsid w:val="001E16FA"/>
    <w:rsid w:val="001E6213"/>
    <w:rsid w:val="001F14C7"/>
    <w:rsid w:val="001F7405"/>
    <w:rsid w:val="00205533"/>
    <w:rsid w:val="00212B8D"/>
    <w:rsid w:val="002206C8"/>
    <w:rsid w:val="00220ED0"/>
    <w:rsid w:val="00222983"/>
    <w:rsid w:val="002370D0"/>
    <w:rsid w:val="00255958"/>
    <w:rsid w:val="00257FA2"/>
    <w:rsid w:val="0026309F"/>
    <w:rsid w:val="0026574A"/>
    <w:rsid w:val="002660BB"/>
    <w:rsid w:val="002720E8"/>
    <w:rsid w:val="00275293"/>
    <w:rsid w:val="002776B0"/>
    <w:rsid w:val="00286C7E"/>
    <w:rsid w:val="002A1029"/>
    <w:rsid w:val="002A3A1A"/>
    <w:rsid w:val="002A4692"/>
    <w:rsid w:val="002A51BA"/>
    <w:rsid w:val="002B2E26"/>
    <w:rsid w:val="002B3FE6"/>
    <w:rsid w:val="002B5310"/>
    <w:rsid w:val="002C2D81"/>
    <w:rsid w:val="002C461E"/>
    <w:rsid w:val="002C6402"/>
    <w:rsid w:val="002C6CEC"/>
    <w:rsid w:val="002D746E"/>
    <w:rsid w:val="002E09CE"/>
    <w:rsid w:val="002E1563"/>
    <w:rsid w:val="002E69D1"/>
    <w:rsid w:val="002F19C9"/>
    <w:rsid w:val="002F1B45"/>
    <w:rsid w:val="002F30DE"/>
    <w:rsid w:val="002F3BA6"/>
    <w:rsid w:val="003019B0"/>
    <w:rsid w:val="0030578B"/>
    <w:rsid w:val="00315320"/>
    <w:rsid w:val="0032078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FB"/>
    <w:rsid w:val="00382F1F"/>
    <w:rsid w:val="003840E5"/>
    <w:rsid w:val="003879EF"/>
    <w:rsid w:val="00391DA4"/>
    <w:rsid w:val="003940CF"/>
    <w:rsid w:val="003A3C64"/>
    <w:rsid w:val="003A3F83"/>
    <w:rsid w:val="003C43EF"/>
    <w:rsid w:val="003C5A6B"/>
    <w:rsid w:val="003C7FB2"/>
    <w:rsid w:val="003D24DE"/>
    <w:rsid w:val="003E26D4"/>
    <w:rsid w:val="003E47BA"/>
    <w:rsid w:val="003F3B37"/>
    <w:rsid w:val="0040195A"/>
    <w:rsid w:val="00402DC0"/>
    <w:rsid w:val="00407EC0"/>
    <w:rsid w:val="00416C4B"/>
    <w:rsid w:val="0041751E"/>
    <w:rsid w:val="004211E5"/>
    <w:rsid w:val="00422091"/>
    <w:rsid w:val="0043386C"/>
    <w:rsid w:val="00436F2D"/>
    <w:rsid w:val="00436F5D"/>
    <w:rsid w:val="00441B42"/>
    <w:rsid w:val="0045118A"/>
    <w:rsid w:val="00455D51"/>
    <w:rsid w:val="00456BF9"/>
    <w:rsid w:val="00461057"/>
    <w:rsid w:val="00467B48"/>
    <w:rsid w:val="004704A8"/>
    <w:rsid w:val="00471102"/>
    <w:rsid w:val="00471F18"/>
    <w:rsid w:val="0048202C"/>
    <w:rsid w:val="004833C0"/>
    <w:rsid w:val="00484144"/>
    <w:rsid w:val="00484C19"/>
    <w:rsid w:val="00485866"/>
    <w:rsid w:val="00491F7E"/>
    <w:rsid w:val="00492076"/>
    <w:rsid w:val="00493B1D"/>
    <w:rsid w:val="0049679E"/>
    <w:rsid w:val="00497037"/>
    <w:rsid w:val="004A3009"/>
    <w:rsid w:val="004A34D2"/>
    <w:rsid w:val="004A3BDF"/>
    <w:rsid w:val="004A6940"/>
    <w:rsid w:val="004A77A4"/>
    <w:rsid w:val="004C742C"/>
    <w:rsid w:val="004E1959"/>
    <w:rsid w:val="004E1F3E"/>
    <w:rsid w:val="004E283F"/>
    <w:rsid w:val="004E7C8F"/>
    <w:rsid w:val="004F21BD"/>
    <w:rsid w:val="004F4F1D"/>
    <w:rsid w:val="004F74DD"/>
    <w:rsid w:val="00501317"/>
    <w:rsid w:val="0050495C"/>
    <w:rsid w:val="00505DC9"/>
    <w:rsid w:val="00506E1E"/>
    <w:rsid w:val="00513C81"/>
    <w:rsid w:val="00520EB6"/>
    <w:rsid w:val="00525E8D"/>
    <w:rsid w:val="00526D4D"/>
    <w:rsid w:val="00527BFB"/>
    <w:rsid w:val="00532A32"/>
    <w:rsid w:val="00540B0B"/>
    <w:rsid w:val="0054460F"/>
    <w:rsid w:val="005536CD"/>
    <w:rsid w:val="00554051"/>
    <w:rsid w:val="00555D66"/>
    <w:rsid w:val="00557240"/>
    <w:rsid w:val="005629A4"/>
    <w:rsid w:val="005651F3"/>
    <w:rsid w:val="005662BA"/>
    <w:rsid w:val="00572184"/>
    <w:rsid w:val="00577915"/>
    <w:rsid w:val="00577A15"/>
    <w:rsid w:val="00580533"/>
    <w:rsid w:val="0059131D"/>
    <w:rsid w:val="00592D50"/>
    <w:rsid w:val="005A0039"/>
    <w:rsid w:val="005B2ADC"/>
    <w:rsid w:val="005B3A37"/>
    <w:rsid w:val="005B3F92"/>
    <w:rsid w:val="005B479C"/>
    <w:rsid w:val="005B561E"/>
    <w:rsid w:val="005C07E4"/>
    <w:rsid w:val="005C2124"/>
    <w:rsid w:val="005C336F"/>
    <w:rsid w:val="005C7F3C"/>
    <w:rsid w:val="005D4577"/>
    <w:rsid w:val="005E017C"/>
    <w:rsid w:val="005E0E72"/>
    <w:rsid w:val="005E50C6"/>
    <w:rsid w:val="005F2A97"/>
    <w:rsid w:val="005F399B"/>
    <w:rsid w:val="006019F8"/>
    <w:rsid w:val="00602754"/>
    <w:rsid w:val="00605B20"/>
    <w:rsid w:val="0061156F"/>
    <w:rsid w:val="00613FF5"/>
    <w:rsid w:val="006155A8"/>
    <w:rsid w:val="00621076"/>
    <w:rsid w:val="00621B94"/>
    <w:rsid w:val="00626239"/>
    <w:rsid w:val="00634DF8"/>
    <w:rsid w:val="00635316"/>
    <w:rsid w:val="00635449"/>
    <w:rsid w:val="006378C5"/>
    <w:rsid w:val="00645E6A"/>
    <w:rsid w:val="006528E2"/>
    <w:rsid w:val="00665CBC"/>
    <w:rsid w:val="00667A5C"/>
    <w:rsid w:val="00677316"/>
    <w:rsid w:val="00681780"/>
    <w:rsid w:val="00686AEB"/>
    <w:rsid w:val="006A3280"/>
    <w:rsid w:val="006B1F88"/>
    <w:rsid w:val="006B3883"/>
    <w:rsid w:val="006B7897"/>
    <w:rsid w:val="006B7FA7"/>
    <w:rsid w:val="006C086A"/>
    <w:rsid w:val="006C21C1"/>
    <w:rsid w:val="006C7327"/>
    <w:rsid w:val="006D00E5"/>
    <w:rsid w:val="006D791B"/>
    <w:rsid w:val="006E0FE0"/>
    <w:rsid w:val="006E2895"/>
    <w:rsid w:val="006F180D"/>
    <w:rsid w:val="006F4334"/>
    <w:rsid w:val="006F47AF"/>
    <w:rsid w:val="006F6B8A"/>
    <w:rsid w:val="006F7FC7"/>
    <w:rsid w:val="00701FFE"/>
    <w:rsid w:val="00707CD3"/>
    <w:rsid w:val="00716BB9"/>
    <w:rsid w:val="007256D1"/>
    <w:rsid w:val="007279FD"/>
    <w:rsid w:val="00742645"/>
    <w:rsid w:val="00747798"/>
    <w:rsid w:val="007502CB"/>
    <w:rsid w:val="00750AB1"/>
    <w:rsid w:val="00752D79"/>
    <w:rsid w:val="00752E20"/>
    <w:rsid w:val="00756EDE"/>
    <w:rsid w:val="007574E8"/>
    <w:rsid w:val="00764456"/>
    <w:rsid w:val="00781B4D"/>
    <w:rsid w:val="007824BF"/>
    <w:rsid w:val="00783B8D"/>
    <w:rsid w:val="00786DD9"/>
    <w:rsid w:val="00794B94"/>
    <w:rsid w:val="00794BD4"/>
    <w:rsid w:val="00797F20"/>
    <w:rsid w:val="007A2F73"/>
    <w:rsid w:val="007A3061"/>
    <w:rsid w:val="007A5A0B"/>
    <w:rsid w:val="007A6F93"/>
    <w:rsid w:val="007C0E14"/>
    <w:rsid w:val="007C2B9E"/>
    <w:rsid w:val="007C7DE4"/>
    <w:rsid w:val="007D40CB"/>
    <w:rsid w:val="007D5796"/>
    <w:rsid w:val="007D59C0"/>
    <w:rsid w:val="007D7D9C"/>
    <w:rsid w:val="007F485D"/>
    <w:rsid w:val="007F6050"/>
    <w:rsid w:val="00804D69"/>
    <w:rsid w:val="00813627"/>
    <w:rsid w:val="00832816"/>
    <w:rsid w:val="00837109"/>
    <w:rsid w:val="00840365"/>
    <w:rsid w:val="008406A3"/>
    <w:rsid w:val="00841D2C"/>
    <w:rsid w:val="00844BA5"/>
    <w:rsid w:val="00845F3C"/>
    <w:rsid w:val="008461B8"/>
    <w:rsid w:val="008462F1"/>
    <w:rsid w:val="00847EF1"/>
    <w:rsid w:val="008538FA"/>
    <w:rsid w:val="008573B0"/>
    <w:rsid w:val="00864962"/>
    <w:rsid w:val="00866563"/>
    <w:rsid w:val="00867AC2"/>
    <w:rsid w:val="00867F18"/>
    <w:rsid w:val="0087056E"/>
    <w:rsid w:val="00875402"/>
    <w:rsid w:val="00884D51"/>
    <w:rsid w:val="008916EC"/>
    <w:rsid w:val="00891E4F"/>
    <w:rsid w:val="008A142E"/>
    <w:rsid w:val="008A31C5"/>
    <w:rsid w:val="008A4F9A"/>
    <w:rsid w:val="008A6AB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BC"/>
    <w:rsid w:val="00980766"/>
    <w:rsid w:val="009835D4"/>
    <w:rsid w:val="00984DE0"/>
    <w:rsid w:val="009865D4"/>
    <w:rsid w:val="0099711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18"/>
    <w:rsid w:val="00A305D6"/>
    <w:rsid w:val="00A342C4"/>
    <w:rsid w:val="00A50F6B"/>
    <w:rsid w:val="00A52237"/>
    <w:rsid w:val="00A551D6"/>
    <w:rsid w:val="00A6251B"/>
    <w:rsid w:val="00A6754E"/>
    <w:rsid w:val="00A70F58"/>
    <w:rsid w:val="00A72987"/>
    <w:rsid w:val="00A7346B"/>
    <w:rsid w:val="00A828DA"/>
    <w:rsid w:val="00A84C4F"/>
    <w:rsid w:val="00A92584"/>
    <w:rsid w:val="00A932A1"/>
    <w:rsid w:val="00A96E06"/>
    <w:rsid w:val="00AA6197"/>
    <w:rsid w:val="00AA6C70"/>
    <w:rsid w:val="00AB16FD"/>
    <w:rsid w:val="00AB39DD"/>
    <w:rsid w:val="00AB4813"/>
    <w:rsid w:val="00AC12B1"/>
    <w:rsid w:val="00AC4BBE"/>
    <w:rsid w:val="00AC6466"/>
    <w:rsid w:val="00AC7639"/>
    <w:rsid w:val="00AD08BB"/>
    <w:rsid w:val="00AD0EC0"/>
    <w:rsid w:val="00AD70D6"/>
    <w:rsid w:val="00AD75BC"/>
    <w:rsid w:val="00AD7BB0"/>
    <w:rsid w:val="00AD7BC9"/>
    <w:rsid w:val="00AE1871"/>
    <w:rsid w:val="00AE59B2"/>
    <w:rsid w:val="00AF0DB9"/>
    <w:rsid w:val="00AF1A8C"/>
    <w:rsid w:val="00B0116D"/>
    <w:rsid w:val="00B01173"/>
    <w:rsid w:val="00B02F35"/>
    <w:rsid w:val="00B05A3C"/>
    <w:rsid w:val="00B07100"/>
    <w:rsid w:val="00B1138C"/>
    <w:rsid w:val="00B12ABF"/>
    <w:rsid w:val="00B2574A"/>
    <w:rsid w:val="00B35D8A"/>
    <w:rsid w:val="00B45B34"/>
    <w:rsid w:val="00B57047"/>
    <w:rsid w:val="00B61D86"/>
    <w:rsid w:val="00B6342D"/>
    <w:rsid w:val="00B726BD"/>
    <w:rsid w:val="00B732BC"/>
    <w:rsid w:val="00B90E33"/>
    <w:rsid w:val="00B93A8F"/>
    <w:rsid w:val="00B9676B"/>
    <w:rsid w:val="00BA247C"/>
    <w:rsid w:val="00BA2EA5"/>
    <w:rsid w:val="00BA364B"/>
    <w:rsid w:val="00BB1190"/>
    <w:rsid w:val="00BB31D0"/>
    <w:rsid w:val="00BB3A11"/>
    <w:rsid w:val="00BB4DDB"/>
    <w:rsid w:val="00BB5D79"/>
    <w:rsid w:val="00BB5F02"/>
    <w:rsid w:val="00BC7892"/>
    <w:rsid w:val="00BE24D6"/>
    <w:rsid w:val="00BE6B14"/>
    <w:rsid w:val="00BE7EFA"/>
    <w:rsid w:val="00BF06AD"/>
    <w:rsid w:val="00BF2C67"/>
    <w:rsid w:val="00C04F4D"/>
    <w:rsid w:val="00C12E48"/>
    <w:rsid w:val="00C13D14"/>
    <w:rsid w:val="00C15F53"/>
    <w:rsid w:val="00C23F09"/>
    <w:rsid w:val="00C24ED7"/>
    <w:rsid w:val="00C25356"/>
    <w:rsid w:val="00C270D0"/>
    <w:rsid w:val="00C328D0"/>
    <w:rsid w:val="00C46BC1"/>
    <w:rsid w:val="00C5235F"/>
    <w:rsid w:val="00C54CE2"/>
    <w:rsid w:val="00C64EB7"/>
    <w:rsid w:val="00C66B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94D"/>
    <w:rsid w:val="00CB3C9C"/>
    <w:rsid w:val="00CB6246"/>
    <w:rsid w:val="00CC0A17"/>
    <w:rsid w:val="00CD0F93"/>
    <w:rsid w:val="00CD1BD1"/>
    <w:rsid w:val="00CD528D"/>
    <w:rsid w:val="00CE39E8"/>
    <w:rsid w:val="00CE78BF"/>
    <w:rsid w:val="00CF65EB"/>
    <w:rsid w:val="00CF72AD"/>
    <w:rsid w:val="00D02441"/>
    <w:rsid w:val="00D039F4"/>
    <w:rsid w:val="00D067B4"/>
    <w:rsid w:val="00D10496"/>
    <w:rsid w:val="00D11173"/>
    <w:rsid w:val="00D1215F"/>
    <w:rsid w:val="00D16561"/>
    <w:rsid w:val="00D17FF8"/>
    <w:rsid w:val="00D268AC"/>
    <w:rsid w:val="00D27FF3"/>
    <w:rsid w:val="00D343D0"/>
    <w:rsid w:val="00D3664D"/>
    <w:rsid w:val="00D500E9"/>
    <w:rsid w:val="00D507BC"/>
    <w:rsid w:val="00D5326A"/>
    <w:rsid w:val="00D6090A"/>
    <w:rsid w:val="00D62FA3"/>
    <w:rsid w:val="00D63B6F"/>
    <w:rsid w:val="00D64A90"/>
    <w:rsid w:val="00D763DE"/>
    <w:rsid w:val="00D9410B"/>
    <w:rsid w:val="00D9695B"/>
    <w:rsid w:val="00DA1AD6"/>
    <w:rsid w:val="00DA2417"/>
    <w:rsid w:val="00DA5585"/>
    <w:rsid w:val="00DB02AC"/>
    <w:rsid w:val="00DB283A"/>
    <w:rsid w:val="00DB6AA2"/>
    <w:rsid w:val="00DD25F1"/>
    <w:rsid w:val="00DE023E"/>
    <w:rsid w:val="00DE10D1"/>
    <w:rsid w:val="00DE2514"/>
    <w:rsid w:val="00DE6851"/>
    <w:rsid w:val="00DF03EE"/>
    <w:rsid w:val="00E01109"/>
    <w:rsid w:val="00E01B71"/>
    <w:rsid w:val="00E0327B"/>
    <w:rsid w:val="00E05CC9"/>
    <w:rsid w:val="00E07BE7"/>
    <w:rsid w:val="00E1333A"/>
    <w:rsid w:val="00E15283"/>
    <w:rsid w:val="00E15573"/>
    <w:rsid w:val="00E25A5B"/>
    <w:rsid w:val="00E373C7"/>
    <w:rsid w:val="00E4267B"/>
    <w:rsid w:val="00E42F13"/>
    <w:rsid w:val="00E452DF"/>
    <w:rsid w:val="00E45C78"/>
    <w:rsid w:val="00E543CF"/>
    <w:rsid w:val="00E546FD"/>
    <w:rsid w:val="00E608F1"/>
    <w:rsid w:val="00E611B9"/>
    <w:rsid w:val="00E67CEC"/>
    <w:rsid w:val="00E7144F"/>
    <w:rsid w:val="00E73D74"/>
    <w:rsid w:val="00E76A79"/>
    <w:rsid w:val="00E80692"/>
    <w:rsid w:val="00E80C24"/>
    <w:rsid w:val="00E80E49"/>
    <w:rsid w:val="00E93836"/>
    <w:rsid w:val="00E961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BB3"/>
    <w:rsid w:val="00F344E3"/>
    <w:rsid w:val="00F34D58"/>
    <w:rsid w:val="00F40FC9"/>
    <w:rsid w:val="00F41A9D"/>
    <w:rsid w:val="00F44314"/>
    <w:rsid w:val="00F54B9C"/>
    <w:rsid w:val="00F54E97"/>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A33498"/>
  <w15:docId w15:val="{9B5692CB-BD83-44BE-A807-1ED71EA0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741FB"/>
    <w:rPr>
      <w:sz w:val="16"/>
      <w:szCs w:val="16"/>
    </w:rPr>
  </w:style>
  <w:style w:type="paragraph" w:styleId="CommentText">
    <w:name w:val="annotation text"/>
    <w:basedOn w:val="Normal"/>
    <w:link w:val="CommentTextChar"/>
    <w:semiHidden/>
    <w:unhideWhenUsed/>
    <w:rsid w:val="003741FB"/>
    <w:pPr>
      <w:spacing w:line="240" w:lineRule="auto"/>
    </w:pPr>
    <w:rPr>
      <w:sz w:val="20"/>
      <w:szCs w:val="20"/>
    </w:rPr>
  </w:style>
  <w:style w:type="character" w:customStyle="1" w:styleId="CommentTextChar">
    <w:name w:val="Comment Text Char"/>
    <w:basedOn w:val="DefaultParagraphFont"/>
    <w:link w:val="CommentText"/>
    <w:semiHidden/>
    <w:rsid w:val="003741FB"/>
    <w:rPr>
      <w:spacing w:val="4"/>
    </w:rPr>
  </w:style>
  <w:style w:type="paragraph" w:styleId="CommentSubject">
    <w:name w:val="annotation subject"/>
    <w:basedOn w:val="CommentText"/>
    <w:next w:val="CommentText"/>
    <w:link w:val="CommentSubjectChar"/>
    <w:semiHidden/>
    <w:unhideWhenUsed/>
    <w:rsid w:val="003741FB"/>
    <w:rPr>
      <w:b/>
      <w:bCs/>
    </w:rPr>
  </w:style>
  <w:style w:type="character" w:customStyle="1" w:styleId="CommentSubjectChar">
    <w:name w:val="Comment Subject Char"/>
    <w:basedOn w:val="CommentTextChar"/>
    <w:link w:val="CommentSubject"/>
    <w:semiHidden/>
    <w:rsid w:val="003741FB"/>
    <w:rPr>
      <w:b/>
      <w:bCs/>
      <w:spacing w:val="4"/>
    </w:rPr>
  </w:style>
  <w:style w:type="paragraph" w:styleId="BalloonText">
    <w:name w:val="Balloon Text"/>
    <w:basedOn w:val="Normal"/>
    <w:link w:val="BalloonTextChar"/>
    <w:semiHidden/>
    <w:unhideWhenUsed/>
    <w:rsid w:val="00374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1FB"/>
    <w:rPr>
      <w:rFonts w:ascii="Segoe UI" w:hAnsi="Segoe UI" w:cs="Segoe UI"/>
      <w:spacing w:val="4"/>
      <w:sz w:val="18"/>
      <w:szCs w:val="18"/>
    </w:rPr>
  </w:style>
  <w:style w:type="character" w:styleId="LineNumber">
    <w:name w:val="line number"/>
    <w:basedOn w:val="DefaultParagraphFont"/>
    <w:semiHidden/>
    <w:unhideWhenUsed/>
    <w:rsid w:val="0079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4E32F-EAEC-4CA2-AD5D-4E7FD0B36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1808</Words>
  <Characters>10252</Characters>
  <Application>Microsoft Office Word</Application>
  <DocSecurity>0</DocSecurity>
  <Lines>218</Lines>
  <Paragraphs>47</Paragraphs>
  <ScaleCrop>false</ScaleCrop>
  <HeadingPairs>
    <vt:vector size="2" baseType="variant">
      <vt:variant>
        <vt:lpstr>Title</vt:lpstr>
      </vt:variant>
      <vt:variant>
        <vt:i4>1</vt:i4>
      </vt:variant>
    </vt:vector>
  </HeadingPairs>
  <TitlesOfParts>
    <vt:vector size="1" baseType="lpstr">
      <vt:lpstr>P.L. 2021, c.181</vt:lpstr>
    </vt:vector>
  </TitlesOfParts>
  <Manager>Kenneth P. Howard</Manager>
  <Company>NJ Office of Legislative Services</Company>
  <LinksUpToDate>false</LinksUpToDate>
  <CharactersWithSpaces>12179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c.181 CC (A5758 2R)</dc:title>
  <dc:subject>Asm. Coughlin - Seton Hall Clinical Program for Housing Legal Assistance</dc:subject>
  <dc:creator>Assembly, No. 5758 (Second Reprint)</dc:creator>
  <cp:keywords>A5758|5| ||0|0|!|0|</cp:keywords>
  <dc:description>INTRODUCED MAY 17, 2021_x000d_
Amended 5/18/21_x000d_
Amended 6/10/21</dc:description>
  <cp:lastModifiedBy>Todaro, Vivian</cp:lastModifiedBy>
  <cp:revision>2</cp:revision>
  <cp:lastPrinted>2021-09-16T19:35:00Z</cp:lastPrinted>
  <dcterms:created xsi:type="dcterms:W3CDTF">2021-09-16T19:37:00Z</dcterms:created>
  <dcterms:modified xsi:type="dcterms:W3CDTF">2021-09-16T19:37:00Z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c.181</vt:lpwstr>
  </property>
</Properties>
</file>