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ADB" w:rsidRDefault="00136ADB" w:rsidP="003543E8">
      <w:pPr>
        <w:pStyle w:val="HangingAnAct"/>
        <w:suppressLineNumbers/>
        <w:rPr>
          <w:rStyle w:val="BillHead"/>
        </w:rPr>
        <w:sectPr w:rsidR="00136ADB" w:rsidSect="00A4609C">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136ADB" w:rsidRDefault="00136ADB" w:rsidP="00136ADB">
      <w:pPr>
        <w:ind w:left="6048"/>
      </w:pPr>
      <w:r>
        <w:t>§1</w:t>
      </w:r>
    </w:p>
    <w:p w:rsidR="00136ADB" w:rsidRDefault="00136ADB" w:rsidP="00136ADB">
      <w:pPr>
        <w:ind w:left="6048"/>
      </w:pPr>
      <w:r>
        <w:t>C.2A:50-56.4</w:t>
      </w:r>
    </w:p>
    <w:p w:rsidR="00136ADB" w:rsidRDefault="00136ADB" w:rsidP="00136ADB">
      <w:pPr>
        <w:ind w:left="6048"/>
      </w:pPr>
    </w:p>
    <w:p w:rsidR="00136ADB" w:rsidRDefault="00136ADB" w:rsidP="00136ADB">
      <w:pPr>
        <w:sectPr w:rsidR="00136ADB" w:rsidSect="00136ADB">
          <w:type w:val="continuous"/>
          <w:pgSz w:w="12240" w:h="20160" w:code="5"/>
          <w:pgMar w:top="1440" w:right="1440" w:bottom="1872" w:left="2880" w:header="72" w:footer="720" w:gutter="0"/>
          <w:cols w:space="720"/>
          <w:titlePg/>
          <w:docGrid w:linePitch="360"/>
        </w:sectPr>
      </w:pPr>
    </w:p>
    <w:p w:rsidR="00136ADB" w:rsidRDefault="00136ADB" w:rsidP="00136ADB">
      <w:pPr>
        <w:jc w:val="center"/>
      </w:pPr>
      <w:bookmarkStart w:id="0" w:name="LCPL"/>
      <w:bookmarkEnd w:id="0"/>
      <w:r>
        <w:t>P.L. 2021, CHAPTER 337,</w:t>
      </w:r>
      <w:r>
        <w:rPr>
          <w:b/>
          <w:i/>
        </w:rPr>
        <w:t xml:space="preserve"> approved January 10, 2022</w:t>
      </w:r>
    </w:p>
    <w:p w:rsidR="00136ADB" w:rsidRDefault="00136ADB" w:rsidP="00136ADB">
      <w:pPr>
        <w:jc w:val="center"/>
      </w:pPr>
      <w:r>
        <w:t xml:space="preserve">Senate, No. 1604 </w:t>
      </w:r>
      <w:r w:rsidRPr="00136ADB">
        <w:rPr>
          <w:b/>
          <w:i/>
        </w:rPr>
        <w:t>(First Reprint)</w:t>
      </w:r>
    </w:p>
    <w:p w:rsidR="00136ADB" w:rsidRDefault="00136ADB" w:rsidP="00136ADB">
      <w:pPr>
        <w:jc w:val="center"/>
      </w:pPr>
    </w:p>
    <w:p w:rsidR="00136ADB" w:rsidRPr="00136ADB" w:rsidRDefault="00136ADB" w:rsidP="00136ADB">
      <w:pPr>
        <w:jc w:val="center"/>
      </w:pPr>
    </w:p>
    <w:p w:rsidR="00136ADB" w:rsidRPr="00136ADB" w:rsidRDefault="00136ADB" w:rsidP="00136ADB">
      <w:pPr>
        <w:sectPr w:rsidR="00136ADB" w:rsidRPr="00136ADB" w:rsidSect="00136ADB">
          <w:type w:val="continuous"/>
          <w:pgSz w:w="12240" w:h="20160" w:code="5"/>
          <w:pgMar w:top="2880" w:right="1440" w:bottom="1872" w:left="1440" w:header="72" w:footer="720" w:gutter="0"/>
          <w:cols w:space="720"/>
          <w:docGrid w:linePitch="360"/>
        </w:sectPr>
      </w:pPr>
    </w:p>
    <w:p w:rsidR="00B27706" w:rsidRPr="00677316" w:rsidRDefault="00B27706" w:rsidP="00B27706">
      <w:pPr>
        <w:pStyle w:val="HangingAnAct"/>
        <w:rPr>
          <w:rStyle w:val="HangingAnActChar"/>
        </w:rPr>
      </w:pPr>
      <w:r w:rsidRPr="00B27706">
        <w:rPr>
          <w:rStyle w:val="BillHead"/>
        </w:rPr>
        <w:t>An Act</w:t>
      </w:r>
      <w:r w:rsidRPr="006B7FA7">
        <w:rPr>
          <w:rStyle w:val="HangingAnActChar"/>
        </w:rPr>
        <w:t xml:space="preserve"> </w:t>
      </w:r>
      <w:r w:rsidRPr="00132620">
        <w:t>concerning residential mortgage foreclosure</w:t>
      </w:r>
      <w:r>
        <w:t>s</w:t>
      </w:r>
      <w:r w:rsidRPr="00132620">
        <w:t xml:space="preserve"> and supplementing P.L.1995, c.244</w:t>
      </w:r>
      <w:r>
        <w:t xml:space="preserve"> (C.2A:50-53 et seq.)</w:t>
      </w:r>
      <w:r w:rsidRPr="00132620">
        <w:t xml:space="preserve">.  </w:t>
      </w:r>
    </w:p>
    <w:p w:rsidR="00B27706" w:rsidRPr="00D71D68" w:rsidRDefault="00B27706" w:rsidP="00B27706"/>
    <w:p w:rsidR="00B27706" w:rsidRPr="00AA7880" w:rsidRDefault="00B27706" w:rsidP="00B2770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7706" w:rsidRDefault="00B27706" w:rsidP="00B27706"/>
    <w:p w:rsidR="0077079A" w:rsidRDefault="0077079A" w:rsidP="0077079A">
      <w:pPr>
        <w:tabs>
          <w:tab w:val="left" w:pos="1080"/>
          <w:tab w:val="left" w:pos="1800"/>
        </w:tabs>
      </w:pPr>
      <w:r>
        <w:tab/>
        <w:t>1.</w:t>
      </w:r>
      <w:r>
        <w:tab/>
        <w:t>a.</w:t>
      </w:r>
      <w:r>
        <w:tab/>
        <w:t>In addition to any other requirements under law, regulation or court rule,</w:t>
      </w:r>
      <w:r w:rsidRPr="006C6B73">
        <w:t xml:space="preserve"> </w:t>
      </w:r>
      <w:r>
        <w:t>in all residential mortgage foreclosure actions, an attorney filing a foreclosure complaint shall include a certification of diligent inquiry.  The certification of diligent inquiry shall certify:</w:t>
      </w:r>
    </w:p>
    <w:p w:rsidR="0077079A" w:rsidRDefault="0077079A" w:rsidP="0077079A">
      <w:r>
        <w:tab/>
        <w:t>(1)</w:t>
      </w:r>
      <w:r>
        <w:tab/>
        <w:t xml:space="preserve">that the attorney has communicated with an employee or employees of the plaintiff </w:t>
      </w:r>
      <w:r>
        <w:rPr>
          <w:rFonts w:ascii="Albertus Extra Bold" w:hAnsi="Albertus Extra Bold"/>
          <w:b/>
          <w:vertAlign w:val="superscript"/>
        </w:rPr>
        <w:t>1</w:t>
      </w:r>
      <w:r w:rsidRPr="00B71967">
        <w:rPr>
          <w:u w:val="single"/>
        </w:rPr>
        <w:t>or of the plaintiff’s mortgage loan servicer</w:t>
      </w:r>
      <w:r>
        <w:rPr>
          <w:rFonts w:ascii="Albertus Extra Bold" w:hAnsi="Albertus Extra Bold"/>
          <w:b/>
          <w:vertAlign w:val="superscript"/>
        </w:rPr>
        <w:t>1</w:t>
      </w:r>
      <w:r>
        <w:t xml:space="preserve"> who: (a) personally reviewed the </w:t>
      </w:r>
      <w:r>
        <w:rPr>
          <w:rFonts w:ascii="Albertus Extra Bold" w:hAnsi="Albertus Extra Bold"/>
          <w:b/>
          <w:vertAlign w:val="superscript"/>
        </w:rPr>
        <w:t>1</w:t>
      </w:r>
      <w:r w:rsidRPr="00B71967">
        <w:rPr>
          <w:rFonts w:ascii="Albertus Extra Bold" w:hAnsi="Albertus Extra Bold"/>
          <w:b/>
        </w:rPr>
        <w:t>[</w:t>
      </w:r>
      <w:r>
        <w:t>documents being submitted to support the</w:t>
      </w:r>
      <w:r w:rsidRPr="006C4FEE">
        <w:rPr>
          <w:rFonts w:ascii="Albertus Extra Bold" w:hAnsi="Albertus Extra Bold"/>
          <w:b/>
        </w:rPr>
        <w:t>]</w:t>
      </w:r>
      <w:r>
        <w:rPr>
          <w:rFonts w:ascii="Albertus Extra Bold" w:hAnsi="Albertus Extra Bold"/>
          <w:b/>
          <w:vertAlign w:val="superscript"/>
        </w:rPr>
        <w:t>1</w:t>
      </w:r>
      <w:r>
        <w:t xml:space="preserve"> complaint </w:t>
      </w:r>
      <w:r>
        <w:rPr>
          <w:rFonts w:ascii="Albertus Extra Bold" w:hAnsi="Albertus Extra Bold"/>
          <w:b/>
          <w:vertAlign w:val="superscript"/>
        </w:rPr>
        <w:t>1</w:t>
      </w:r>
      <w:r w:rsidRPr="006C4FEE">
        <w:rPr>
          <w:u w:val="single"/>
        </w:rPr>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Pr>
          <w:rFonts w:ascii="Albertus Extra Bold" w:hAnsi="Albertus Extra Bold"/>
          <w:b/>
          <w:vertAlign w:val="superscript"/>
        </w:rPr>
        <w:t>1</w:t>
      </w:r>
      <w:r>
        <w:t xml:space="preserve">; and (b) confirmed the </w:t>
      </w:r>
      <w:r>
        <w:rPr>
          <w:rFonts w:ascii="Albertus Extra Bold" w:hAnsi="Albertus Extra Bold"/>
          <w:b/>
          <w:vertAlign w:val="superscript"/>
        </w:rPr>
        <w:t>1</w:t>
      </w:r>
      <w:r w:rsidRPr="006C4FEE">
        <w:rPr>
          <w:rFonts w:ascii="Albertus Extra Bold" w:hAnsi="Albertus Extra Bold"/>
          <w:b/>
        </w:rPr>
        <w:t>[</w:t>
      </w:r>
      <w:r>
        <w:t>accuracy of the documents</w:t>
      </w:r>
      <w:r w:rsidRPr="006C4FEE">
        <w:rPr>
          <w:rFonts w:ascii="Albertus Extra Bold" w:hAnsi="Albertus Extra Bold"/>
          <w:b/>
        </w:rPr>
        <w:t>]</w:t>
      </w:r>
      <w:r>
        <w:t xml:space="preserve"> </w:t>
      </w:r>
      <w:r w:rsidRPr="006C4FEE">
        <w:rPr>
          <w:u w:val="single"/>
        </w:rPr>
        <w:t>authority of the mortgage loan servicer to act on behalf of the plaintiff</w:t>
      </w:r>
      <w:r>
        <w:rPr>
          <w:rFonts w:ascii="Albertus Extra Bold" w:hAnsi="Albertus Extra Bold"/>
          <w:b/>
          <w:vertAlign w:val="superscript"/>
        </w:rPr>
        <w:t>1</w:t>
      </w:r>
      <w:r>
        <w:t xml:space="preserve">; </w:t>
      </w:r>
    </w:p>
    <w:p w:rsidR="0077079A" w:rsidRDefault="0077079A" w:rsidP="0077079A">
      <w:r>
        <w:tab/>
        <w:t>(2)</w:t>
      </w:r>
      <w:r>
        <w:tab/>
        <w:t xml:space="preserve">the names and titles, and the responsibilities in those titles, of the plaintiff’s </w:t>
      </w:r>
      <w:r>
        <w:rPr>
          <w:rFonts w:ascii="Albertus Extra Bold" w:hAnsi="Albertus Extra Bold"/>
          <w:b/>
          <w:vertAlign w:val="superscript"/>
        </w:rPr>
        <w:t>1</w:t>
      </w:r>
      <w:r w:rsidRPr="006C4FEE">
        <w:rPr>
          <w:u w:val="single"/>
        </w:rPr>
        <w:t>or plaintiff’s mortgage loan servicer’s</w:t>
      </w:r>
      <w:r>
        <w:rPr>
          <w:rFonts w:ascii="Albertus Extra Bold" w:hAnsi="Albertus Extra Bold"/>
          <w:b/>
          <w:vertAlign w:val="superscript"/>
        </w:rPr>
        <w:t>1</w:t>
      </w:r>
      <w:r>
        <w:t xml:space="preserve"> employees with whom the attorney communicated pursuant to paragraph (1) of this section </w:t>
      </w:r>
      <w:r w:rsidRPr="00D94F2B">
        <w:rPr>
          <w:rFonts w:ascii="Albertus Extra Bold" w:hAnsi="Albertus Extra Bold"/>
          <w:b/>
          <w:vertAlign w:val="superscript"/>
        </w:rPr>
        <w:t>1</w:t>
      </w:r>
      <w:r w:rsidRPr="00D94F2B">
        <w:rPr>
          <w:u w:val="single"/>
        </w:rPr>
        <w:t>and the date and mode of communication employed to contact them</w:t>
      </w:r>
      <w:r>
        <w:rPr>
          <w:rFonts w:ascii="Albertus Extra Bold" w:hAnsi="Albertus Extra Bold"/>
          <w:b/>
          <w:vertAlign w:val="superscript"/>
        </w:rPr>
        <w:t>1</w:t>
      </w:r>
      <w:r>
        <w:t xml:space="preserve">; </w:t>
      </w:r>
    </w:p>
    <w:p w:rsidR="0077079A" w:rsidRDefault="0077079A" w:rsidP="0077079A">
      <w:r>
        <w:tab/>
        <w:t>(3)</w:t>
      </w:r>
      <w:r>
        <w:tab/>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77079A" w:rsidRDefault="0077079A" w:rsidP="0077079A">
      <w:r>
        <w:tab/>
        <w:t>(4)</w:t>
      </w:r>
      <w:r>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77079A" w:rsidRDefault="0077079A" w:rsidP="0077079A">
      <w:r>
        <w:lastRenderedPageBreak/>
        <w:tab/>
        <w:t>b.</w:t>
      </w:r>
      <w:r>
        <w:tab/>
        <w:t>If the court finds that the plaintiff has failed to comply with the provisions of subsection a. of this section, the court may dismiss the complaint</w:t>
      </w:r>
      <w:r>
        <w:rPr>
          <w:rFonts w:ascii="Albertus Extra Bold" w:hAnsi="Albertus Extra Bold"/>
          <w:b/>
          <w:vertAlign w:val="superscript"/>
        </w:rPr>
        <w:t>1</w:t>
      </w:r>
      <w:r w:rsidRPr="00264755">
        <w:rPr>
          <w:rFonts w:ascii="Albertus Extra Bold" w:hAnsi="Albertus Extra Bold"/>
          <w:b/>
        </w:rPr>
        <w:t>[</w:t>
      </w:r>
      <w:r>
        <w:t>, with or without prejudice,</w:t>
      </w:r>
      <w:r w:rsidRPr="00264755">
        <w:rPr>
          <w:rFonts w:ascii="Albertus Extra Bold" w:hAnsi="Albertus Extra Bold"/>
          <w:b/>
        </w:rPr>
        <w:t>]</w:t>
      </w:r>
      <w:r>
        <w:rPr>
          <w:rFonts w:ascii="Albertus Extra Bold" w:hAnsi="Albertus Extra Bold"/>
          <w:b/>
          <w:vertAlign w:val="superscript"/>
        </w:rPr>
        <w:t>1</w:t>
      </w:r>
      <w:r>
        <w:t xml:space="preserve"> or deny the accrual of any </w:t>
      </w:r>
      <w:r>
        <w:rPr>
          <w:rFonts w:ascii="Albertus Extra Bold" w:hAnsi="Albertus Extra Bold"/>
          <w:b/>
          <w:vertAlign w:val="superscript"/>
        </w:rPr>
        <w:t>1</w:t>
      </w:r>
      <w:r w:rsidRPr="00264755">
        <w:rPr>
          <w:rFonts w:ascii="Albertus Extra Bold" w:hAnsi="Albertus Extra Bold"/>
          <w:b/>
        </w:rPr>
        <w:t>[</w:t>
      </w:r>
      <w:r>
        <w:t>interest,</w:t>
      </w:r>
      <w:r w:rsidRPr="00264755">
        <w:rPr>
          <w:rFonts w:ascii="Albertus Extra Bold" w:hAnsi="Albertus Extra Bold"/>
          <w:b/>
        </w:rPr>
        <w:t>]</w:t>
      </w:r>
      <w:r>
        <w:rPr>
          <w:rFonts w:ascii="Albertus Extra Bold" w:hAnsi="Albertus Extra Bold"/>
          <w:b/>
          <w:vertAlign w:val="superscript"/>
        </w:rPr>
        <w:t>1</w:t>
      </w:r>
      <w:r>
        <w:t xml:space="preserve"> costs, attorney’s fees and other fees </w:t>
      </w:r>
      <w:r w:rsidR="002E442C">
        <w:t>relating to the mortgage debt.</w:t>
      </w:r>
    </w:p>
    <w:p w:rsidR="002E442C" w:rsidRPr="002046ED" w:rsidRDefault="002E442C" w:rsidP="0077079A"/>
    <w:p w:rsidR="00B27706" w:rsidRDefault="00B27706" w:rsidP="00B27706">
      <w:r>
        <w:tab/>
        <w:t>2.</w:t>
      </w:r>
      <w:r>
        <w:tab/>
        <w:t xml:space="preserve">This act shall take effect immediately and shall apply to mortgage foreclosure actions filed on or after the effective date.  </w:t>
      </w:r>
    </w:p>
    <w:p w:rsidR="00136ADB" w:rsidRDefault="00136ADB" w:rsidP="00B27706"/>
    <w:p w:rsidR="00136ADB" w:rsidRDefault="00136ADB" w:rsidP="00B27706"/>
    <w:p w:rsidR="00136ADB" w:rsidRDefault="00136ADB" w:rsidP="00136ADB">
      <w:pPr>
        <w:jc w:val="center"/>
      </w:pPr>
      <w:r>
        <w:rPr>
          <w:u w:val="single"/>
        </w:rPr>
        <w:t>                                </w:t>
      </w:r>
    </w:p>
    <w:p w:rsidR="00136ADB" w:rsidRDefault="00136ADB" w:rsidP="00136ADB">
      <w:pPr>
        <w:jc w:val="center"/>
      </w:pPr>
    </w:p>
    <w:p w:rsidR="00136ADB" w:rsidRPr="00136ADB" w:rsidRDefault="00136ADB" w:rsidP="006E1305">
      <w:bookmarkStart w:id="1" w:name="_GoBack"/>
      <w:bookmarkEnd w:id="1"/>
      <w:r>
        <w:t xml:space="preserve">Requires certification of diligent inquiry in residential mortgage foreclosure actions to be filed by attorneys. </w:t>
      </w:r>
    </w:p>
    <w:sectPr w:rsidR="00136ADB" w:rsidRPr="00136ADB" w:rsidSect="00136AD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39A" w:rsidRDefault="0072139A">
      <w:r>
        <w:separator/>
      </w:r>
    </w:p>
  </w:endnote>
  <w:endnote w:type="continuationSeparator" w:id="0">
    <w:p w:rsidR="0072139A" w:rsidRDefault="0072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79A" w:rsidRPr="00921C91" w:rsidRDefault="007707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079A" w:rsidRPr="00921C91" w:rsidRDefault="0077079A">
    <w:pPr>
      <w:pStyle w:val="Footer"/>
      <w:rPr>
        <w:szCs w:val="18"/>
      </w:rPr>
    </w:pPr>
  </w:p>
  <w:p w:rsidR="0077079A" w:rsidRPr="00921C91" w:rsidRDefault="007707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079A" w:rsidRDefault="0077079A" w:rsidP="00686AEB">
    <w:pPr>
      <w:pStyle w:val="Footer"/>
    </w:pPr>
    <w:r>
      <w:tab/>
      <w:t>Matter enclosed in superscript numerals has been adopted as follows:</w:t>
    </w:r>
  </w:p>
  <w:p w:rsidR="0077079A" w:rsidRDefault="007707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ADB" w:rsidRDefault="00136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39A" w:rsidRDefault="0072139A">
      <w:r>
        <w:separator/>
      </w:r>
    </w:p>
  </w:footnote>
  <w:footnote w:type="continuationSeparator" w:id="0">
    <w:p w:rsidR="0072139A" w:rsidRDefault="00721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609C" w:rsidRDefault="00A4609C" w:rsidP="00A4609C">
    <w:pPr>
      <w:pStyle w:val="bpuHeadSpon"/>
    </w:pPr>
    <w:r w:rsidRPr="00A4609C">
      <w:rPr>
        <w:rStyle w:val="bpuHeadSponChar"/>
      </w:rPr>
      <w:t>S1604</w:t>
    </w:r>
    <w:r>
      <w:t xml:space="preserve"> </w:t>
    </w:r>
    <w:r w:rsidR="0077079A">
      <w:t xml:space="preserve">[1R] </w:t>
    </w:r>
    <w:r>
      <w:t>CODEY</w:t>
    </w:r>
    <w:r w:rsidR="002C50E2">
      <w:t>, POU</w:t>
    </w:r>
  </w:p>
  <w:p w:rsidR="00A4609C" w:rsidRDefault="00A4609C" w:rsidP="00A4609C">
    <w:pPr>
      <w:pStyle w:val="bpuHeadSpon"/>
    </w:pPr>
    <w:r>
      <w:fldChar w:fldCharType="begin"/>
    </w:r>
    <w:r>
      <w:instrText xml:space="preserve"> PAGE  \* MERGEFORMAT </w:instrText>
    </w:r>
    <w:r>
      <w:fldChar w:fldCharType="separate"/>
    </w:r>
    <w:r w:rsidR="00136ADB">
      <w:rPr>
        <w:noProof/>
      </w:rPr>
      <w:t>2</w:t>
    </w:r>
    <w:r>
      <w:fldChar w:fldCharType="end"/>
    </w:r>
  </w:p>
  <w:p w:rsidR="00A4609C" w:rsidRDefault="00A4609C" w:rsidP="00A4609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ADB" w:rsidRDefault="00136ADB" w:rsidP="00686AEB">
    <w:pPr>
      <w:pStyle w:val="Header"/>
      <w:jc w:val="center"/>
      <w:rPr>
        <w:rStyle w:val="PageNumber"/>
      </w:rPr>
    </w:pPr>
  </w:p>
  <w:p w:rsidR="00136ADB" w:rsidRDefault="00136ADB" w:rsidP="00A4609C">
    <w:pPr>
      <w:pStyle w:val="bpuHeadSpon"/>
    </w:pPr>
    <w:r w:rsidRPr="00A4609C">
      <w:rPr>
        <w:rStyle w:val="bpuHeadSponChar"/>
      </w:rPr>
      <w:t>S1604</w:t>
    </w:r>
    <w:r>
      <w:t xml:space="preserve"> [1R]</w:t>
    </w:r>
  </w:p>
  <w:p w:rsidR="00136ADB" w:rsidRDefault="00136ADB" w:rsidP="00A4609C">
    <w:pPr>
      <w:pStyle w:val="bpuHeadSpon"/>
    </w:pPr>
    <w:r>
      <w:fldChar w:fldCharType="begin"/>
    </w:r>
    <w:r>
      <w:instrText xml:space="preserve"> PAGE  \* MERGEFORMAT </w:instrText>
    </w:r>
    <w:r>
      <w:fldChar w:fldCharType="separate"/>
    </w:r>
    <w:r w:rsidR="009B0C31">
      <w:rPr>
        <w:noProof/>
      </w:rPr>
      <w:t>2</w:t>
    </w:r>
    <w:r>
      <w:fldChar w:fldCharType="end"/>
    </w:r>
  </w:p>
  <w:p w:rsidR="00136ADB" w:rsidRDefault="00136ADB" w:rsidP="00A460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9A"/>
    <w:rsid w:val="00000848"/>
    <w:rsid w:val="00000D15"/>
    <w:rsid w:val="000051BD"/>
    <w:rsid w:val="000160A5"/>
    <w:rsid w:val="0002335B"/>
    <w:rsid w:val="0003549A"/>
    <w:rsid w:val="000367AE"/>
    <w:rsid w:val="00043B22"/>
    <w:rsid w:val="00054975"/>
    <w:rsid w:val="00057D20"/>
    <w:rsid w:val="0006197C"/>
    <w:rsid w:val="0006281F"/>
    <w:rsid w:val="0008141C"/>
    <w:rsid w:val="00094A55"/>
    <w:rsid w:val="000963E4"/>
    <w:rsid w:val="000A44A7"/>
    <w:rsid w:val="000B1054"/>
    <w:rsid w:val="000B3411"/>
    <w:rsid w:val="000C054C"/>
    <w:rsid w:val="000C12C2"/>
    <w:rsid w:val="000D11AF"/>
    <w:rsid w:val="000D399E"/>
    <w:rsid w:val="000D6255"/>
    <w:rsid w:val="000D6262"/>
    <w:rsid w:val="000D7B4A"/>
    <w:rsid w:val="000E4006"/>
    <w:rsid w:val="000F3DA2"/>
    <w:rsid w:val="000F5FDE"/>
    <w:rsid w:val="000F7466"/>
    <w:rsid w:val="00102582"/>
    <w:rsid w:val="0013000E"/>
    <w:rsid w:val="00133F81"/>
    <w:rsid w:val="00135943"/>
    <w:rsid w:val="00136ADB"/>
    <w:rsid w:val="001645FB"/>
    <w:rsid w:val="00173D2B"/>
    <w:rsid w:val="001751D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E2"/>
    <w:rsid w:val="002C6CEC"/>
    <w:rsid w:val="002E09CE"/>
    <w:rsid w:val="002E442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3E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00"/>
    <w:rsid w:val="004704A8"/>
    <w:rsid w:val="00471102"/>
    <w:rsid w:val="00471F18"/>
    <w:rsid w:val="00484144"/>
    <w:rsid w:val="00484C19"/>
    <w:rsid w:val="00485866"/>
    <w:rsid w:val="00492076"/>
    <w:rsid w:val="00493B1D"/>
    <w:rsid w:val="00497037"/>
    <w:rsid w:val="004A3009"/>
    <w:rsid w:val="004A6940"/>
    <w:rsid w:val="004A77A4"/>
    <w:rsid w:val="004B303A"/>
    <w:rsid w:val="004C742C"/>
    <w:rsid w:val="004E1F3E"/>
    <w:rsid w:val="004E376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C4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305"/>
    <w:rsid w:val="006E2895"/>
    <w:rsid w:val="006F180D"/>
    <w:rsid w:val="006F4334"/>
    <w:rsid w:val="006F47AF"/>
    <w:rsid w:val="006F6B8A"/>
    <w:rsid w:val="00707CD3"/>
    <w:rsid w:val="00716BB9"/>
    <w:rsid w:val="0072139A"/>
    <w:rsid w:val="007256D1"/>
    <w:rsid w:val="007279FD"/>
    <w:rsid w:val="007502CB"/>
    <w:rsid w:val="00752D79"/>
    <w:rsid w:val="00752E20"/>
    <w:rsid w:val="00756EDE"/>
    <w:rsid w:val="0077079A"/>
    <w:rsid w:val="00773566"/>
    <w:rsid w:val="007761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D1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278"/>
    <w:rsid w:val="008C79B3"/>
    <w:rsid w:val="008D77BD"/>
    <w:rsid w:val="008E454C"/>
    <w:rsid w:val="008F1E5A"/>
    <w:rsid w:val="00901BDA"/>
    <w:rsid w:val="009121D8"/>
    <w:rsid w:val="00916F7A"/>
    <w:rsid w:val="00917FE3"/>
    <w:rsid w:val="00921510"/>
    <w:rsid w:val="009318C7"/>
    <w:rsid w:val="00931C09"/>
    <w:rsid w:val="009348C2"/>
    <w:rsid w:val="0094304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31"/>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BB"/>
    <w:rsid w:val="00A11228"/>
    <w:rsid w:val="00A222C2"/>
    <w:rsid w:val="00A305D6"/>
    <w:rsid w:val="00A342C4"/>
    <w:rsid w:val="00A4609C"/>
    <w:rsid w:val="00A50F6B"/>
    <w:rsid w:val="00A52237"/>
    <w:rsid w:val="00A551D6"/>
    <w:rsid w:val="00A6251B"/>
    <w:rsid w:val="00A63D6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06"/>
    <w:rsid w:val="00B35D8A"/>
    <w:rsid w:val="00B45B34"/>
    <w:rsid w:val="00B57047"/>
    <w:rsid w:val="00B61D86"/>
    <w:rsid w:val="00B6342D"/>
    <w:rsid w:val="00B66BAF"/>
    <w:rsid w:val="00B726BD"/>
    <w:rsid w:val="00B732BC"/>
    <w:rsid w:val="00B74C01"/>
    <w:rsid w:val="00B90E33"/>
    <w:rsid w:val="00B9676B"/>
    <w:rsid w:val="00BA2EA5"/>
    <w:rsid w:val="00BA364B"/>
    <w:rsid w:val="00BB1190"/>
    <w:rsid w:val="00BB31D0"/>
    <w:rsid w:val="00BB3A11"/>
    <w:rsid w:val="00BB4DDB"/>
    <w:rsid w:val="00BB5D79"/>
    <w:rsid w:val="00BB5F02"/>
    <w:rsid w:val="00BC7892"/>
    <w:rsid w:val="00BD64A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65"/>
    <w:rsid w:val="00D9410B"/>
    <w:rsid w:val="00D9695B"/>
    <w:rsid w:val="00DA2417"/>
    <w:rsid w:val="00DA5585"/>
    <w:rsid w:val="00DB02AC"/>
    <w:rsid w:val="00DB6AA2"/>
    <w:rsid w:val="00DC3C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58"/>
    <w:rsid w:val="00EA7C16"/>
    <w:rsid w:val="00EC5281"/>
    <w:rsid w:val="00EC791D"/>
    <w:rsid w:val="00EC7CA6"/>
    <w:rsid w:val="00ED0304"/>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15:docId w15:val="{76726E67-61A0-45E6-BAA4-2E878E4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609C"/>
  </w:style>
  <w:style w:type="paragraph" w:styleId="BalloonText">
    <w:name w:val="Balloon Text"/>
    <w:basedOn w:val="Normal"/>
    <w:link w:val="BalloonTextChar"/>
    <w:semiHidden/>
    <w:unhideWhenUsed/>
    <w:rsid w:val="00770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7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436</Words>
  <Characters>2355</Characters>
  <Application>Microsoft Office Word</Application>
  <DocSecurity>0</DocSecurity>
  <Lines>63</Lines>
  <Paragraphs>14</Paragraphs>
  <ScaleCrop>false</ScaleCrop>
  <HeadingPairs>
    <vt:vector size="2" baseType="variant">
      <vt:variant>
        <vt:lpstr>Title</vt:lpstr>
      </vt:variant>
      <vt:variant>
        <vt:i4>1</vt:i4>
      </vt:variant>
    </vt:vector>
  </HeadingPairs>
  <TitlesOfParts>
    <vt:vector size="1" baseType="lpstr">
      <vt:lpstr>P.L. 2021, c.337</vt:lpstr>
    </vt:vector>
  </TitlesOfParts>
  <Manager>Benning, Kelly</Manager>
  <Company>NJ Office of Legislative Services</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c.337 (S1604 1R)</dc:title>
  <dc:subject>Reintro S1911 of 18/19</dc:subject>
  <dc:creator>Senate, No. 1604 (First Reprint)</dc:creator>
  <cp:keywords>S1604|2| ||0|0|!|0|</cp:keywords>
  <dc:description>INTRODUCED FEBRUARY 13, 2020_x000d_
Amended 2/11/21</dc:description>
  <cp:lastModifiedBy>Todaro, Vivian</cp:lastModifiedBy>
  <cp:revision>2</cp:revision>
  <cp:lastPrinted>2022-02-09T19:18:00Z</cp:lastPrinted>
  <dcterms:created xsi:type="dcterms:W3CDTF">2022-02-09T19:20:00Z</dcterms:created>
  <dcterms:modified xsi:type="dcterms:W3CDTF">2022-02-09T19:20:00Z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c.337</vt:lpwstr>
  </property>
</Properties>
</file>