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D0D0" w14:textId="77777777" w:rsidR="007E70FD" w:rsidRDefault="007E70FD" w:rsidP="007E70FD">
      <w:pPr>
        <w:pStyle w:val="HangingAnAct"/>
        <w:suppressLineNumbers/>
        <w:rPr>
          <w:rStyle w:val="BillHead"/>
        </w:rPr>
        <w:sectPr w:rsidR="007E70FD" w:rsidSect="00070D22">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75B8C7E4" w14:textId="6850D20C" w:rsidR="007E70FD" w:rsidRDefault="007E70FD" w:rsidP="007E70FD"/>
    <w:p w14:paraId="7F96FBCF" w14:textId="64D59493" w:rsidR="007E70FD" w:rsidRDefault="007E70FD" w:rsidP="007E70FD"/>
    <w:p w14:paraId="2567BFFE" w14:textId="77777777" w:rsidR="007E70FD" w:rsidRDefault="007E70FD" w:rsidP="007E70FD">
      <w:pPr>
        <w:sectPr w:rsidR="007E70FD" w:rsidSect="007E70FD">
          <w:type w:val="continuous"/>
          <w:pgSz w:w="12240" w:h="20160" w:code="5"/>
          <w:pgMar w:top="1440" w:right="1440" w:bottom="1872" w:left="2880" w:header="72" w:footer="720" w:gutter="0"/>
          <w:cols w:space="720"/>
          <w:titlePg/>
          <w:docGrid w:linePitch="360"/>
        </w:sectPr>
      </w:pPr>
    </w:p>
    <w:p w14:paraId="70B1BF50" w14:textId="4EC16E4C" w:rsidR="007E70FD" w:rsidRDefault="007E70FD" w:rsidP="007E70FD">
      <w:pPr>
        <w:jc w:val="center"/>
      </w:pPr>
      <w:bookmarkStart w:id="0" w:name="LCPL"/>
      <w:bookmarkEnd w:id="0"/>
      <w:r>
        <w:t>P.L. 2021, CHAPTER 347,</w:t>
      </w:r>
      <w:r>
        <w:rPr>
          <w:b/>
          <w:i/>
        </w:rPr>
        <w:t xml:space="preserve"> approved January 10, 2022</w:t>
      </w:r>
    </w:p>
    <w:p w14:paraId="6DB12B21" w14:textId="4A4F93BA" w:rsidR="007E70FD" w:rsidRDefault="007E70FD" w:rsidP="007E70FD">
      <w:pPr>
        <w:jc w:val="center"/>
        <w:rPr>
          <w:b/>
          <w:i/>
        </w:rPr>
      </w:pPr>
      <w:r>
        <w:t xml:space="preserve">Senate, No. 3632 </w:t>
      </w:r>
      <w:r w:rsidRPr="007E70FD">
        <w:rPr>
          <w:b/>
          <w:i/>
        </w:rPr>
        <w:t>(First Reprint)</w:t>
      </w:r>
    </w:p>
    <w:p w14:paraId="69E334B7" w14:textId="77777777" w:rsidR="007E70FD" w:rsidRDefault="007E70FD" w:rsidP="007E70FD">
      <w:pPr>
        <w:jc w:val="center"/>
      </w:pPr>
    </w:p>
    <w:p w14:paraId="151E45EE" w14:textId="5A384D1A" w:rsidR="007E70FD" w:rsidRDefault="007E70FD" w:rsidP="007E70FD">
      <w:pPr>
        <w:jc w:val="center"/>
      </w:pPr>
    </w:p>
    <w:p w14:paraId="3CF2B67D" w14:textId="77777777" w:rsidR="007E70FD" w:rsidRPr="007E70FD" w:rsidRDefault="007E70FD" w:rsidP="007E70FD">
      <w:pPr>
        <w:jc w:val="center"/>
        <w:sectPr w:rsidR="007E70FD" w:rsidRPr="007E70FD" w:rsidSect="007E70FD">
          <w:type w:val="continuous"/>
          <w:pgSz w:w="12240" w:h="20160" w:code="5"/>
          <w:pgMar w:top="2880" w:right="1440" w:bottom="1872" w:left="1440" w:header="72" w:footer="720" w:gutter="0"/>
          <w:cols w:space="720"/>
          <w:docGrid w:linePitch="360"/>
        </w:sectPr>
      </w:pPr>
    </w:p>
    <w:p w14:paraId="2421EE75" w14:textId="7942727B" w:rsidR="000D0B63" w:rsidRPr="00677316" w:rsidRDefault="000D0B63" w:rsidP="000D0B63">
      <w:pPr>
        <w:pStyle w:val="HangingAnAct"/>
        <w:rPr>
          <w:rStyle w:val="HangingAnActChar"/>
        </w:rPr>
      </w:pPr>
      <w:r>
        <w:rPr>
          <w:rStyle w:val="BillHead"/>
        </w:rPr>
        <w:t>An Act</w:t>
      </w:r>
      <w:r w:rsidRPr="006B7FA7">
        <w:rPr>
          <w:rStyle w:val="HangingAnActChar"/>
        </w:rPr>
        <w:t xml:space="preserve"> </w:t>
      </w:r>
      <w:r>
        <w:rPr>
          <w:rStyle w:val="HangingAnActChar"/>
        </w:rPr>
        <w:t xml:space="preserve">concerning health care practitioner referrals and amending </w:t>
      </w:r>
      <w:r>
        <w:t>P.L.1989, c.19.</w:t>
      </w:r>
    </w:p>
    <w:p w14:paraId="44C5BA4C" w14:textId="77777777" w:rsidR="000D0B63" w:rsidRPr="00D71D68" w:rsidRDefault="000D0B63" w:rsidP="000D0B63"/>
    <w:p w14:paraId="7088CD7F" w14:textId="77777777" w:rsidR="000D0B63" w:rsidRPr="00AA7880" w:rsidRDefault="000D0B63" w:rsidP="000D0B63">
      <w:r>
        <w:tab/>
      </w:r>
      <w:r>
        <w:rPr>
          <w:rStyle w:val="BillHeading2"/>
        </w:rPr>
        <w:t xml:space="preserve">Be It Enacted </w:t>
      </w:r>
      <w:r>
        <w:rPr>
          <w:rStyle w:val="BillLanguage"/>
        </w:rPr>
        <w:t>by the Senate and General Assembly of the State of New Jersey:</w:t>
      </w:r>
    </w:p>
    <w:p w14:paraId="4B4083D0" w14:textId="77777777" w:rsidR="000D0B63" w:rsidRDefault="000D0B63" w:rsidP="000D0B63"/>
    <w:p w14:paraId="6A392713" w14:textId="1CA1E73E" w:rsidR="0076629A" w:rsidRDefault="0076629A" w:rsidP="0076629A">
      <w:r>
        <w:tab/>
        <w:t>1.</w:t>
      </w:r>
      <w:r>
        <w:tab/>
        <w:t xml:space="preserve">Section 2 of P.L.1989, c.19 (C.45:9-22.5) is amended to read as follows: </w:t>
      </w:r>
    </w:p>
    <w:p w14:paraId="2D9CE0BD" w14:textId="77777777" w:rsidR="0076629A" w:rsidRDefault="0076629A" w:rsidP="0076629A">
      <w:r>
        <w:tab/>
        <w:t>2.</w:t>
      </w:r>
      <w:r>
        <w:tab/>
        <w:t xml:space="preserve">a.  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76668E85" w14:textId="77777777" w:rsidR="0076629A" w:rsidRDefault="0076629A" w:rsidP="0076629A">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77678AE" w14:textId="77777777" w:rsidR="0076629A" w:rsidRDefault="0076629A" w:rsidP="0076629A">
      <w:r>
        <w:tab/>
        <w:t>c.</w:t>
      </w:r>
      <w:r>
        <w:tab/>
        <w:t>The restrictions on referral of patients established in this section shall not apply to:</w:t>
      </w:r>
    </w:p>
    <w:p w14:paraId="7700887E" w14:textId="77777777" w:rsidR="0076629A" w:rsidRDefault="0076629A" w:rsidP="0076629A">
      <w:r>
        <w:tab/>
        <w:t>(1)</w:t>
      </w:r>
      <w:r>
        <w:tab/>
        <w:t>medical treatment or a procedure that is provided at the practitioner's medical office and for which a bill is issued directly in the name of the practitioner or the practitioner's medical office;</w:t>
      </w:r>
    </w:p>
    <w:p w14:paraId="6A814F71" w14:textId="77777777" w:rsidR="0076629A" w:rsidRDefault="0076629A" w:rsidP="0076629A">
      <w:r>
        <w:tab/>
        <w:t>(2)</w:t>
      </w:r>
      <w:r>
        <w:tab/>
        <w:t xml:space="preserve">renal dialysis; </w:t>
      </w:r>
    </w:p>
    <w:p w14:paraId="7DD1A40C" w14:textId="77777777" w:rsidR="0076629A" w:rsidRDefault="0076629A" w:rsidP="0076629A">
      <w:r>
        <w:tab/>
        <w:t>(3)</w:t>
      </w:r>
      <w:r>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6E8F662E" w14:textId="77777777" w:rsidR="0076629A" w:rsidRDefault="0076629A" w:rsidP="0076629A">
      <w:r>
        <w:lastRenderedPageBreak/>
        <w:tab/>
        <w:t>(a)</w:t>
      </w:r>
      <w:r>
        <w:tab/>
        <w:t>the practitioner who provided the referral personally performs the procedure;</w:t>
      </w:r>
    </w:p>
    <w:p w14:paraId="0E4FDC70" w14:textId="77777777" w:rsidR="0076629A" w:rsidRDefault="0076629A" w:rsidP="0076629A">
      <w:r>
        <w:tab/>
        <w:t>(b)</w:t>
      </w:r>
      <w:r>
        <w:tab/>
        <w:t>the practitioner's remuneration as an owner of or investor in the practice or facility is directly proportional to the practitioner's</w:t>
      </w:r>
    </w:p>
    <w:p w14:paraId="28C8738E" w14:textId="77777777" w:rsidR="0076629A" w:rsidRDefault="0076629A" w:rsidP="0076629A">
      <w:r>
        <w:t xml:space="preserve">ownership interest and not to the volume of patients the practitioner refers to the practice or facility; </w:t>
      </w:r>
    </w:p>
    <w:p w14:paraId="2D05D146" w14:textId="77777777" w:rsidR="0076629A" w:rsidRDefault="0076629A" w:rsidP="0076629A">
      <w:r>
        <w:tab/>
        <w:t>(c)</w:t>
      </w:r>
      <w:r>
        <w:tab/>
        <w:t>all clinically-related decisions at a facility owned in part by non-practitioners are made by practitioners and are in the best interests of the patient; and</w:t>
      </w:r>
    </w:p>
    <w:p w14:paraId="533A373B" w14:textId="1270BAB9" w:rsidR="0076629A" w:rsidRDefault="0076629A" w:rsidP="0076629A">
      <w:r>
        <w:tab/>
        <w:t>(d)</w:t>
      </w:r>
      <w:r>
        <w:tab/>
        <w:t xml:space="preserve">disclosure of the referring practitioner's significant beneficial interest in the practice or facility is made to the patient in writing, at or prior to the time that the referral is made, consistent with the provisions of section 3 of P.L.1989, c.19 (C.45:9-22.6); </w:t>
      </w:r>
      <w:r>
        <w:rPr>
          <w:rFonts w:ascii="Albertus Extra Bold" w:hAnsi="Albertus Extra Bold"/>
          <w:b/>
          <w:vertAlign w:val="superscript"/>
        </w:rPr>
        <w:t>1</w:t>
      </w:r>
      <w:r w:rsidRPr="000A0549">
        <w:rPr>
          <w:rFonts w:ascii="Albertus Extra Bold" w:hAnsi="Albertus Extra Bold"/>
          <w:b/>
        </w:rPr>
        <w:t>[</w:t>
      </w:r>
      <w:r>
        <w:t>and</w:t>
      </w:r>
      <w:r w:rsidRPr="00E71B5C">
        <w:rPr>
          <w:rFonts w:ascii="Albertus Extra Bold" w:hAnsi="Albertus Extra Bold"/>
          <w:b/>
        </w:rPr>
        <w:t>]</w:t>
      </w:r>
      <w:r w:rsidRPr="00E71B5C">
        <w:rPr>
          <w:rFonts w:ascii="Albertus Extra Bold" w:hAnsi="Albertus Extra Bold"/>
          <w:b/>
          <w:vertAlign w:val="superscript"/>
        </w:rPr>
        <w:t>1</w:t>
      </w:r>
    </w:p>
    <w:p w14:paraId="7B65B33D" w14:textId="77777777" w:rsidR="0076629A" w:rsidRPr="00E71B5C" w:rsidRDefault="0076629A" w:rsidP="0076629A">
      <w:pPr>
        <w:rPr>
          <w:u w:val="single"/>
        </w:rPr>
      </w:pPr>
      <w:r>
        <w:tab/>
        <w:t>(4)</w:t>
      </w:r>
      <w:r>
        <w:tab/>
        <w:t xml:space="preserve">medically-necessary intraoperative monitoring services rendered during a neurosurgical, neurological, or neuro-radiological surgical procedure that is performed in a hospital; </w:t>
      </w:r>
      <w:r>
        <w:rPr>
          <w:rFonts w:ascii="Albertus Extra Bold" w:hAnsi="Albertus Extra Bold"/>
          <w:b/>
          <w:vertAlign w:val="superscript"/>
        </w:rPr>
        <w:t>1</w:t>
      </w:r>
      <w:r w:rsidRPr="00E71B5C">
        <w:rPr>
          <w:rFonts w:ascii="Albertus Extra Bold" w:hAnsi="Albertus Extra Bold"/>
          <w:b/>
        </w:rPr>
        <w:t>[</w:t>
      </w:r>
      <w:r>
        <w:t>and</w:t>
      </w:r>
      <w:r w:rsidRPr="00E71B5C">
        <w:rPr>
          <w:rFonts w:ascii="Albertus Extra Bold" w:hAnsi="Albertus Extra Bold"/>
          <w:b/>
        </w:rPr>
        <w:t>]</w:t>
      </w:r>
      <w:r>
        <w:rPr>
          <w:rFonts w:ascii="Albertus Extra Bold" w:hAnsi="Albertus Extra Bold"/>
          <w:b/>
          <w:vertAlign w:val="superscript"/>
        </w:rPr>
        <w:t>1</w:t>
      </w:r>
    </w:p>
    <w:p w14:paraId="079A1F14" w14:textId="06186480" w:rsidR="0076629A" w:rsidRPr="00E71B5C" w:rsidRDefault="0076629A" w:rsidP="0076629A">
      <w:pPr>
        <w:autoSpaceDE w:val="0"/>
        <w:autoSpaceDN w:val="0"/>
        <w:rPr>
          <w:bCs/>
          <w:sz w:val="22"/>
          <w:szCs w:val="22"/>
          <w:u w:val="single"/>
        </w:rPr>
      </w:pPr>
      <w:r>
        <w:tab/>
        <w:t>(5)</w:t>
      </w:r>
      <w:r>
        <w:tab/>
      </w:r>
      <w:r>
        <w:rPr>
          <w:rFonts w:ascii="Albertus Extra Bold" w:hAnsi="Albertus Extra Bold"/>
          <w:b/>
          <w:vertAlign w:val="superscript"/>
        </w:rPr>
        <w:t>1</w:t>
      </w:r>
      <w:r w:rsidRPr="00E71B5C">
        <w:rPr>
          <w:bCs/>
          <w:u w:val="single"/>
        </w:rPr>
        <w:t>a value-based arrangement</w:t>
      </w:r>
      <w:r>
        <w:rPr>
          <w:bCs/>
          <w:u w:val="single"/>
        </w:rPr>
        <w:t xml:space="preserve"> made </w:t>
      </w:r>
      <w:r w:rsidRPr="00E71B5C">
        <w:rPr>
          <w:bCs/>
          <w:u w:val="single"/>
        </w:rPr>
        <w:t>in ac</w:t>
      </w:r>
      <w:r>
        <w:rPr>
          <w:bCs/>
          <w:u w:val="single"/>
        </w:rPr>
        <w:t xml:space="preserve">cordance with 42 C.F.R. 411.357(aa), </w:t>
      </w:r>
      <w:r w:rsidRPr="00E71B5C">
        <w:rPr>
          <w:bCs/>
          <w:u w:val="single"/>
        </w:rPr>
        <w:t xml:space="preserve">a payment model </w:t>
      </w:r>
      <w:r>
        <w:rPr>
          <w:bCs/>
          <w:u w:val="single"/>
        </w:rPr>
        <w:t>authorized under a</w:t>
      </w:r>
      <w:r>
        <w:rPr>
          <w:bCs/>
          <w:sz w:val="22"/>
          <w:szCs w:val="22"/>
          <w:u w:val="single"/>
        </w:rPr>
        <w:t xml:space="preserve"> </w:t>
      </w:r>
      <w:r>
        <w:rPr>
          <w:bCs/>
          <w:u w:val="single"/>
        </w:rPr>
        <w:t>M</w:t>
      </w:r>
      <w:r w:rsidRPr="00E71B5C">
        <w:rPr>
          <w:bCs/>
          <w:u w:val="single"/>
        </w:rPr>
        <w:t>edicare shared savings program pursuant to 42</w:t>
      </w:r>
      <w:r>
        <w:rPr>
          <w:bCs/>
          <w:sz w:val="22"/>
          <w:szCs w:val="22"/>
          <w:u w:val="single"/>
        </w:rPr>
        <w:t xml:space="preserve"> </w:t>
      </w:r>
      <w:r>
        <w:rPr>
          <w:bCs/>
          <w:u w:val="single"/>
        </w:rPr>
        <w:t>U.S.C</w:t>
      </w:r>
      <w:r w:rsidRPr="00E71B5C">
        <w:rPr>
          <w:bCs/>
          <w:u w:val="single"/>
        </w:rPr>
        <w:t>.</w:t>
      </w:r>
      <w:r>
        <w:rPr>
          <w:bCs/>
          <w:u w:val="single"/>
        </w:rPr>
        <w:t xml:space="preserve"> </w:t>
      </w:r>
      <w:r w:rsidRPr="00E71B5C">
        <w:rPr>
          <w:bCs/>
          <w:u w:val="single"/>
        </w:rPr>
        <w:t>s.1395jjj</w:t>
      </w:r>
      <w:r>
        <w:rPr>
          <w:bCs/>
          <w:u w:val="single"/>
        </w:rPr>
        <w:t xml:space="preserve">, or </w:t>
      </w:r>
      <w:r w:rsidRPr="00E71B5C">
        <w:rPr>
          <w:bCs/>
          <w:u w:val="single"/>
        </w:rPr>
        <w:t>a demonstration operated by the</w:t>
      </w:r>
      <w:r>
        <w:rPr>
          <w:bCs/>
          <w:sz w:val="22"/>
          <w:szCs w:val="22"/>
          <w:u w:val="single"/>
        </w:rPr>
        <w:t xml:space="preserve"> </w:t>
      </w:r>
      <w:r>
        <w:rPr>
          <w:bCs/>
          <w:u w:val="single"/>
        </w:rPr>
        <w:t>Center for Medicare and Medicaid I</w:t>
      </w:r>
      <w:r w:rsidRPr="00E71B5C">
        <w:rPr>
          <w:bCs/>
          <w:u w:val="single"/>
        </w:rPr>
        <w:t>nnovatio</w:t>
      </w:r>
      <w:r>
        <w:rPr>
          <w:bCs/>
          <w:u w:val="single"/>
        </w:rPr>
        <w:t>n established pursuant to at 42 U.S.C. s.1315a; and</w:t>
      </w:r>
    </w:p>
    <w:p w14:paraId="3EA6F5BE" w14:textId="4A7CCA31" w:rsidR="0076629A" w:rsidRPr="000D0B63" w:rsidRDefault="0076629A" w:rsidP="0076629A">
      <w:pPr>
        <w:tabs>
          <w:tab w:val="clear" w:pos="720"/>
          <w:tab w:val="left" w:pos="900"/>
        </w:tabs>
      </w:pPr>
      <w:r>
        <w:tab/>
      </w:r>
      <w:r>
        <w:rPr>
          <w:u w:val="single"/>
        </w:rPr>
        <w:t>(6)</w:t>
      </w:r>
      <w:r w:rsidRPr="00E71B5C">
        <w:rPr>
          <w:rFonts w:ascii="Albertus Extra Bold" w:hAnsi="Albertus Extra Bold"/>
          <w:b/>
          <w:vertAlign w:val="superscript"/>
        </w:rPr>
        <w:t>1</w:t>
      </w:r>
      <w:r>
        <w:tab/>
      </w:r>
      <w:r w:rsidRPr="00E71B5C">
        <w:t>Referrals</w:t>
      </w:r>
      <w:r>
        <w:t xml:space="preserve">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Pr>
          <w:u w:val="single"/>
        </w:rPr>
        <w:t>:</w:t>
      </w:r>
      <w:r>
        <w:t xml:space="preserve">  the significant beneficial interest is reasonably related to the alternative payment model standards filed with the Department of Health, provided that the determination is documented and retained for a period of 10 years</w:t>
      </w:r>
      <w:r>
        <w:rPr>
          <w:u w:val="single"/>
        </w:rPr>
        <w:t xml:space="preserve">; and the referral is made in accordance with </w:t>
      </w:r>
      <w:r w:rsidRPr="00AB69D9">
        <w:rPr>
          <w:u w:val="single"/>
        </w:rPr>
        <w:t>alternative payment model standards</w:t>
      </w:r>
      <w:r>
        <w:rPr>
          <w:u w:val="single"/>
        </w:rPr>
        <w:t xml:space="preserve"> and professional standards applicable to</w:t>
      </w:r>
      <w:r w:rsidRPr="000D0B63">
        <w:rPr>
          <w:u w:val="single"/>
        </w:rPr>
        <w:t xml:space="preserve"> the health care service in which the</w:t>
      </w:r>
      <w:r>
        <w:rPr>
          <w:u w:val="single"/>
        </w:rPr>
        <w:t xml:space="preserve"> referring practitioner has a</w:t>
      </w:r>
      <w:r w:rsidRPr="000D0B63">
        <w:rPr>
          <w:u w:val="single"/>
        </w:rPr>
        <w:t xml:space="preserve"> s</w:t>
      </w:r>
      <w:r>
        <w:rPr>
          <w:u w:val="single"/>
        </w:rPr>
        <w:t>ignificant beneficial interest</w:t>
      </w:r>
      <w:r w:rsidRPr="0011146E">
        <w:t>.</w:t>
      </w:r>
    </w:p>
    <w:p w14:paraId="050770C1" w14:textId="77777777" w:rsidR="000D0B63" w:rsidRPr="00D71D68" w:rsidRDefault="000D0B63" w:rsidP="000D0B63"/>
    <w:p w14:paraId="097D5044" w14:textId="0F78E009" w:rsidR="000D0B63" w:rsidRDefault="000D0B63" w:rsidP="000D0B63">
      <w:r>
        <w:tab/>
        <w:t>2.</w:t>
      </w:r>
      <w:r w:rsidR="0076629A">
        <w:tab/>
      </w:r>
      <w:r>
        <w:t>This act shall take effect immediately.</w:t>
      </w:r>
    </w:p>
    <w:p w14:paraId="2B3783FA" w14:textId="4F8C95DF" w:rsidR="007E70FD" w:rsidRDefault="007E70FD" w:rsidP="000D0B63"/>
    <w:p w14:paraId="5F5E7150" w14:textId="07EAB4DD" w:rsidR="007E70FD" w:rsidRDefault="007E70FD" w:rsidP="000D0B63"/>
    <w:p w14:paraId="52293CCE" w14:textId="1898E0CD" w:rsidR="007E70FD" w:rsidRDefault="007E70FD" w:rsidP="007E70FD">
      <w:pPr>
        <w:jc w:val="center"/>
      </w:pPr>
      <w:r>
        <w:rPr>
          <w:u w:val="single"/>
        </w:rPr>
        <w:t>                                </w:t>
      </w:r>
    </w:p>
    <w:p w14:paraId="3BF4DDA2" w14:textId="55BFBC77" w:rsidR="007E70FD" w:rsidRDefault="007E70FD" w:rsidP="007E70FD">
      <w:pPr>
        <w:jc w:val="center"/>
      </w:pPr>
    </w:p>
    <w:p w14:paraId="37AE12AC" w14:textId="63DF3638" w:rsidR="007E70FD" w:rsidRPr="007E70FD" w:rsidRDefault="007E70FD" w:rsidP="00DF5D1B">
      <w:bookmarkStart w:id="1" w:name="_GoBack"/>
      <w:bookmarkEnd w:id="1"/>
      <w:r>
        <w:tab/>
        <w:t>Expands exemption from restrictions on health care practitioner referrals; requires certain referrals to be made in accordance with certain professional standards.</w:t>
      </w:r>
    </w:p>
    <w:sectPr w:rsidR="007E70FD" w:rsidRPr="007E70FD" w:rsidSect="007E70FD">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8A60" w14:textId="77777777" w:rsidR="00F759D3" w:rsidRPr="00921C91" w:rsidRDefault="00F759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55F04" w14:textId="77777777" w:rsidR="00F759D3" w:rsidRPr="00921C91" w:rsidRDefault="00F759D3">
    <w:pPr>
      <w:pStyle w:val="Footer"/>
      <w:rPr>
        <w:szCs w:val="18"/>
      </w:rPr>
    </w:pPr>
  </w:p>
  <w:p w14:paraId="3360E44D" w14:textId="77777777" w:rsidR="0076629A" w:rsidRDefault="00F759D3">
    <w:pPr>
      <w:pStyle w:val="Footer"/>
      <w:rPr>
        <w:szCs w:val="18"/>
      </w:rPr>
    </w:pPr>
    <w:r>
      <w:rPr>
        <w:szCs w:val="18"/>
      </w:rPr>
      <w:tab/>
    </w:r>
    <w:r w:rsidRPr="00921C91">
      <w:rPr>
        <w:szCs w:val="18"/>
      </w:rPr>
      <w:t xml:space="preserve">Matter underlined </w:t>
    </w:r>
    <w:r w:rsidRPr="00000D7D">
      <w:rPr>
        <w:szCs w:val="18"/>
        <w:u w:val="single"/>
      </w:rPr>
      <w:t>thus</w:t>
    </w:r>
    <w:r w:rsidR="0076629A">
      <w:rPr>
        <w:szCs w:val="18"/>
      </w:rPr>
      <w:t xml:space="preserve"> is new matter</w:t>
    </w:r>
  </w:p>
  <w:p w14:paraId="220CFF10" w14:textId="500A3A06" w:rsidR="0076629A" w:rsidRDefault="0076629A">
    <w:pPr>
      <w:pStyle w:val="Footer"/>
      <w:rPr>
        <w:szCs w:val="18"/>
      </w:rPr>
    </w:pPr>
    <w:r>
      <w:rPr>
        <w:szCs w:val="18"/>
      </w:rPr>
      <w:tab/>
      <w:t>Matter enclosed in superscript numerals has been adopted as follows:</w:t>
    </w:r>
  </w:p>
  <w:p w14:paraId="7B8C9852" w14:textId="2A8107E2" w:rsidR="0076629A" w:rsidRDefault="0076629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3A55" w14:textId="77777777" w:rsidR="007E70FD" w:rsidRDefault="007E7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1DD2" w14:textId="6B558242" w:rsidR="00665CBC" w:rsidRDefault="00665CBC" w:rsidP="00686AEB">
    <w:pPr>
      <w:pStyle w:val="Header"/>
      <w:jc w:val="center"/>
      <w:rPr>
        <w:rStyle w:val="PageNumber"/>
      </w:rPr>
    </w:pPr>
  </w:p>
  <w:p w14:paraId="4A73138A" w14:textId="3904E147" w:rsidR="00070D22" w:rsidRDefault="00070D22" w:rsidP="00070D22">
    <w:pPr>
      <w:pStyle w:val="bpuHeadSpon"/>
    </w:pPr>
    <w:r w:rsidRPr="00070D22">
      <w:rPr>
        <w:rStyle w:val="bpuHeadSponChar"/>
      </w:rPr>
      <w:t>S3632</w:t>
    </w:r>
    <w:r>
      <w:t xml:space="preserve"> </w:t>
    </w:r>
    <w:r w:rsidR="0076629A">
      <w:t xml:space="preserve">[1R] </w:t>
    </w:r>
    <w:r>
      <w:t>CODEY</w:t>
    </w:r>
    <w:r w:rsidR="00761541">
      <w:t>, VITALE</w:t>
    </w:r>
  </w:p>
  <w:p w14:paraId="7308F99A" w14:textId="25397A62" w:rsidR="00070D22" w:rsidRDefault="00070D22" w:rsidP="00070D22">
    <w:pPr>
      <w:pStyle w:val="bpuHeadSpon"/>
    </w:pPr>
    <w:r>
      <w:fldChar w:fldCharType="begin"/>
    </w:r>
    <w:r>
      <w:instrText xml:space="preserve"> PAGE  \* MERGEFORMAT </w:instrText>
    </w:r>
    <w:r>
      <w:fldChar w:fldCharType="separate"/>
    </w:r>
    <w:r w:rsidR="007E70FD">
      <w:rPr>
        <w:noProof/>
      </w:rPr>
      <w:t>2</w:t>
    </w:r>
    <w:r>
      <w:fldChar w:fldCharType="end"/>
    </w:r>
  </w:p>
  <w:p w14:paraId="60E1A281" w14:textId="77777777" w:rsidR="00070D22" w:rsidRDefault="00070D22" w:rsidP="00070D2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DBC14" w14:textId="77777777" w:rsidR="007E70FD" w:rsidRDefault="007E70FD" w:rsidP="00686AEB">
    <w:pPr>
      <w:pStyle w:val="Header"/>
      <w:jc w:val="center"/>
      <w:rPr>
        <w:rStyle w:val="PageNumber"/>
      </w:rPr>
    </w:pPr>
  </w:p>
  <w:p w14:paraId="6E652627" w14:textId="17DB30EF" w:rsidR="007E70FD" w:rsidRDefault="007E70FD" w:rsidP="00070D22">
    <w:pPr>
      <w:pStyle w:val="bpuHeadSpon"/>
    </w:pPr>
    <w:r w:rsidRPr="00070D22">
      <w:rPr>
        <w:rStyle w:val="bpuHeadSponChar"/>
      </w:rPr>
      <w:t>S3632</w:t>
    </w:r>
    <w:r>
      <w:t xml:space="preserve"> [1R]</w:t>
    </w:r>
  </w:p>
  <w:p w14:paraId="39758CAC" w14:textId="2EFD4D96" w:rsidR="007E70FD" w:rsidRDefault="007E70FD" w:rsidP="00070D22">
    <w:pPr>
      <w:pStyle w:val="bpuHeadSpon"/>
    </w:pPr>
    <w:r>
      <w:fldChar w:fldCharType="begin"/>
    </w:r>
    <w:r>
      <w:instrText xml:space="preserve"> PAGE  \* MERGEFORMAT </w:instrText>
    </w:r>
    <w:r>
      <w:fldChar w:fldCharType="separate"/>
    </w:r>
    <w:r w:rsidR="00CA1B23">
      <w:rPr>
        <w:noProof/>
      </w:rPr>
      <w:t>2</w:t>
    </w:r>
    <w:r>
      <w:fldChar w:fldCharType="end"/>
    </w:r>
  </w:p>
  <w:p w14:paraId="6DA2688A" w14:textId="77777777" w:rsidR="007E70FD" w:rsidRDefault="007E70FD" w:rsidP="00070D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335B"/>
    <w:rsid w:val="0003549A"/>
    <w:rsid w:val="000367AE"/>
    <w:rsid w:val="00043B22"/>
    <w:rsid w:val="00054975"/>
    <w:rsid w:val="00057D20"/>
    <w:rsid w:val="0006197C"/>
    <w:rsid w:val="0006281F"/>
    <w:rsid w:val="00070D22"/>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E8F"/>
    <w:rsid w:val="001C7C52"/>
    <w:rsid w:val="001D25F3"/>
    <w:rsid w:val="001D69C6"/>
    <w:rsid w:val="001E15F1"/>
    <w:rsid w:val="001E16FA"/>
    <w:rsid w:val="001E6213"/>
    <w:rsid w:val="001F14C7"/>
    <w:rsid w:val="001F7405"/>
    <w:rsid w:val="00205533"/>
    <w:rsid w:val="00212B8D"/>
    <w:rsid w:val="002206C8"/>
    <w:rsid w:val="00222983"/>
    <w:rsid w:val="0022687E"/>
    <w:rsid w:val="002370D0"/>
    <w:rsid w:val="00255958"/>
    <w:rsid w:val="0025759D"/>
    <w:rsid w:val="00257FA2"/>
    <w:rsid w:val="0026574A"/>
    <w:rsid w:val="002660BB"/>
    <w:rsid w:val="002720E8"/>
    <w:rsid w:val="00275293"/>
    <w:rsid w:val="002776B0"/>
    <w:rsid w:val="00286C7E"/>
    <w:rsid w:val="002A1029"/>
    <w:rsid w:val="002A3A1A"/>
    <w:rsid w:val="002A4692"/>
    <w:rsid w:val="002A51BA"/>
    <w:rsid w:val="002A74AC"/>
    <w:rsid w:val="002B2E26"/>
    <w:rsid w:val="002B3FE6"/>
    <w:rsid w:val="002C2D81"/>
    <w:rsid w:val="002C461E"/>
    <w:rsid w:val="002C6CEC"/>
    <w:rsid w:val="002E09CE"/>
    <w:rsid w:val="002E69D1"/>
    <w:rsid w:val="002F1BEA"/>
    <w:rsid w:val="002F3BA6"/>
    <w:rsid w:val="00313CB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8A"/>
    <w:rsid w:val="0036180C"/>
    <w:rsid w:val="00363CF5"/>
    <w:rsid w:val="00364344"/>
    <w:rsid w:val="00365636"/>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14E9"/>
    <w:rsid w:val="003F3B37"/>
    <w:rsid w:val="0040195A"/>
    <w:rsid w:val="00402DC0"/>
    <w:rsid w:val="00414F36"/>
    <w:rsid w:val="00416C4B"/>
    <w:rsid w:val="0041751E"/>
    <w:rsid w:val="004211E5"/>
    <w:rsid w:val="00422091"/>
    <w:rsid w:val="0043386C"/>
    <w:rsid w:val="004361C7"/>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4B95"/>
    <w:rsid w:val="004A6940"/>
    <w:rsid w:val="004A77A4"/>
    <w:rsid w:val="004C42E8"/>
    <w:rsid w:val="004C742C"/>
    <w:rsid w:val="004D152C"/>
    <w:rsid w:val="004E1F3E"/>
    <w:rsid w:val="004F1100"/>
    <w:rsid w:val="004F21BD"/>
    <w:rsid w:val="004F4F1D"/>
    <w:rsid w:val="004F74DD"/>
    <w:rsid w:val="00501317"/>
    <w:rsid w:val="0050495C"/>
    <w:rsid w:val="00505DC9"/>
    <w:rsid w:val="00506E1E"/>
    <w:rsid w:val="0051307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70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4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41"/>
    <w:rsid w:val="00764456"/>
    <w:rsid w:val="0076629A"/>
    <w:rsid w:val="00781B4D"/>
    <w:rsid w:val="007824BF"/>
    <w:rsid w:val="00783B8D"/>
    <w:rsid w:val="00794B94"/>
    <w:rsid w:val="00794BD4"/>
    <w:rsid w:val="007A2F73"/>
    <w:rsid w:val="007A3061"/>
    <w:rsid w:val="007A5A0B"/>
    <w:rsid w:val="007A6F93"/>
    <w:rsid w:val="007B0325"/>
    <w:rsid w:val="007C0E14"/>
    <w:rsid w:val="007C5675"/>
    <w:rsid w:val="007C7DE4"/>
    <w:rsid w:val="007D40CB"/>
    <w:rsid w:val="007D5796"/>
    <w:rsid w:val="007D59C0"/>
    <w:rsid w:val="007D7D9C"/>
    <w:rsid w:val="007E70FD"/>
    <w:rsid w:val="007F485D"/>
    <w:rsid w:val="007F6050"/>
    <w:rsid w:val="00801D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6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F0"/>
    <w:rsid w:val="00A222C2"/>
    <w:rsid w:val="00A24A0E"/>
    <w:rsid w:val="00A305D6"/>
    <w:rsid w:val="00A342C4"/>
    <w:rsid w:val="00A50F6B"/>
    <w:rsid w:val="00A52237"/>
    <w:rsid w:val="00A551D6"/>
    <w:rsid w:val="00A61867"/>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AF6CD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1EF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DA4"/>
    <w:rsid w:val="00C70140"/>
    <w:rsid w:val="00C73CA7"/>
    <w:rsid w:val="00C77568"/>
    <w:rsid w:val="00C822F6"/>
    <w:rsid w:val="00C82AC2"/>
    <w:rsid w:val="00C8456C"/>
    <w:rsid w:val="00C84645"/>
    <w:rsid w:val="00C91E19"/>
    <w:rsid w:val="00C92402"/>
    <w:rsid w:val="00C92867"/>
    <w:rsid w:val="00C93B93"/>
    <w:rsid w:val="00CA037D"/>
    <w:rsid w:val="00CA0837"/>
    <w:rsid w:val="00CA1B2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08"/>
    <w:rsid w:val="00D3664D"/>
    <w:rsid w:val="00D500E9"/>
    <w:rsid w:val="00D507BC"/>
    <w:rsid w:val="00D543A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1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61F"/>
    <w:rsid w:val="00EA79D8"/>
    <w:rsid w:val="00EA7C16"/>
    <w:rsid w:val="00EC5281"/>
    <w:rsid w:val="00EC791D"/>
    <w:rsid w:val="00EC7CA6"/>
    <w:rsid w:val="00ED3B5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9D3"/>
    <w:rsid w:val="00F80AAC"/>
    <w:rsid w:val="00FA0AFC"/>
    <w:rsid w:val="00FA1C82"/>
    <w:rsid w:val="00FA24D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070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1EC0A-A708-439D-8744-3939A36E2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707</Words>
  <Characters>3929</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P.L. 2021, c.347 (S2632 1R)</vt:lpstr>
    </vt:vector>
  </TitlesOfParts>
  <Manager>Kenneth P. Howard</Manager>
  <Company>NJ Office of Legislative Services</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c.347 (S2632 1R)</dc:title>
  <dc:subject>21-1234 </dc:subject>
  <dc:creator>Senate, No. 3632 (First Reprint)</dc:creator>
  <cp:keywords>S3632|2| ||0|0|!|0|</cp:keywords>
  <dc:description>INTRODUCED APRIL 19, 2021_x000d_
Amended 6/10/21</dc:description>
  <cp:lastModifiedBy>Todaro, Vivian</cp:lastModifiedBy>
  <cp:revision>2</cp:revision>
  <cp:lastPrinted>2021-12-27T21:02:00Z</cp:lastPrinted>
  <dcterms:created xsi:type="dcterms:W3CDTF">2022-02-17T15:19:00Z</dcterms:created>
  <dcterms:modified xsi:type="dcterms:W3CDTF">2022-02-17T15:19:00Z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c.347</vt:lpwstr>
  </property>
</Properties>
</file>