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58A" w:rsidRDefault="0074558A" w:rsidP="0074558A">
      <w:pPr>
        <w:pStyle w:val="HangingAnAct"/>
        <w:suppressLineNumbers/>
        <w:rPr>
          <w:rStyle w:val="BillHead"/>
        </w:rPr>
        <w:sectPr w:rsidR="0074558A" w:rsidSect="0074496A">
          <w:headerReference w:type="default" r:id="rId7"/>
          <w:footerReference w:type="first" r:id="rId8"/>
          <w:pgSz w:w="12240" w:h="20160" w:code="5"/>
          <w:pgMar w:top="1440" w:right="2520" w:bottom="1350" w:left="2880" w:header="1181" w:footer="546" w:gutter="0"/>
          <w:lnNumType w:countBy="1"/>
          <w:cols w:space="720"/>
          <w:titlePg/>
          <w:docGrid w:linePitch="360"/>
        </w:sectPr>
      </w:pPr>
    </w:p>
    <w:p w:rsidR="0074558A" w:rsidRDefault="0074558A" w:rsidP="0074558A"/>
    <w:p w:rsidR="0074558A" w:rsidRDefault="0074558A" w:rsidP="0074558A"/>
    <w:p w:rsidR="0074558A" w:rsidRDefault="0074558A" w:rsidP="0074558A">
      <w:pPr>
        <w:sectPr w:rsidR="0074558A" w:rsidSect="0074558A">
          <w:type w:val="continuous"/>
          <w:pgSz w:w="12240" w:h="20160" w:code="5"/>
          <w:pgMar w:top="1440" w:right="1440" w:bottom="1350" w:left="2880" w:header="72" w:footer="720" w:gutter="0"/>
          <w:cols w:space="720"/>
          <w:titlePg/>
          <w:docGrid w:linePitch="360"/>
        </w:sectPr>
      </w:pPr>
    </w:p>
    <w:p w:rsidR="0074558A" w:rsidRDefault="0074558A" w:rsidP="0074558A">
      <w:pPr>
        <w:jc w:val="center"/>
      </w:pPr>
      <w:bookmarkStart w:id="0" w:name="LCPL"/>
      <w:bookmarkEnd w:id="0"/>
      <w:r>
        <w:t>P.L. 2021, CHAPTER 432,</w:t>
      </w:r>
      <w:r>
        <w:rPr>
          <w:b/>
          <w:i/>
        </w:rPr>
        <w:t xml:space="preserve"> approved January 18, 2022</w:t>
      </w:r>
    </w:p>
    <w:p w:rsidR="0074558A" w:rsidRDefault="0074558A" w:rsidP="0074558A">
      <w:pPr>
        <w:jc w:val="center"/>
      </w:pPr>
      <w:r>
        <w:t xml:space="preserve">Assembly, No. 862 </w:t>
      </w:r>
      <w:r w:rsidRPr="0074558A">
        <w:rPr>
          <w:b/>
          <w:i/>
        </w:rPr>
        <w:t>(Second Reprint)</w:t>
      </w:r>
    </w:p>
    <w:p w:rsidR="0074558A" w:rsidRDefault="0074558A" w:rsidP="0074558A">
      <w:pPr>
        <w:jc w:val="center"/>
      </w:pPr>
    </w:p>
    <w:p w:rsidR="0074558A" w:rsidRDefault="0074558A" w:rsidP="0074558A">
      <w:pPr>
        <w:jc w:val="center"/>
      </w:pPr>
    </w:p>
    <w:p w:rsidR="0074558A" w:rsidRPr="0074558A" w:rsidRDefault="0074558A" w:rsidP="0074558A">
      <w:pPr>
        <w:jc w:val="center"/>
        <w:sectPr w:rsidR="0074558A" w:rsidRPr="0074558A" w:rsidSect="0074558A">
          <w:type w:val="continuous"/>
          <w:pgSz w:w="12240" w:h="20160" w:code="5"/>
          <w:pgMar w:top="2880" w:right="1440" w:bottom="1350" w:left="1440" w:header="72" w:footer="720" w:gutter="0"/>
          <w:cols w:space="720"/>
          <w:docGrid w:linePitch="360"/>
        </w:sectPr>
      </w:pPr>
    </w:p>
    <w:p w:rsidR="001A6240" w:rsidRPr="00677316" w:rsidRDefault="001A6240" w:rsidP="001A6240">
      <w:pPr>
        <w:pStyle w:val="HangingAnAct"/>
        <w:rPr>
          <w:rStyle w:val="HangingAnActChar"/>
        </w:rPr>
      </w:pPr>
      <w:r w:rsidRPr="001A6240">
        <w:rPr>
          <w:rStyle w:val="BillHead"/>
        </w:rPr>
        <w:t>An Act</w:t>
      </w:r>
      <w:r w:rsidRPr="006B7FA7">
        <w:rPr>
          <w:rStyle w:val="HangingAnActChar"/>
        </w:rPr>
        <w:t xml:space="preserve"> </w:t>
      </w:r>
      <w:r>
        <w:rPr>
          <w:rStyle w:val="HangingAnActChar"/>
        </w:rPr>
        <w:t>concerning real property assessment appeals and amending P.L.1975, c.361 and P.L.1983, c.137.</w:t>
      </w:r>
    </w:p>
    <w:p w:rsidR="001A6240" w:rsidRPr="00D71D68" w:rsidRDefault="001A6240" w:rsidP="001A6240"/>
    <w:p w:rsidR="001A6240" w:rsidRPr="00AA7880" w:rsidRDefault="001A6240" w:rsidP="001A6240">
      <w:r>
        <w:tab/>
      </w:r>
      <w:r>
        <w:rPr>
          <w:rStyle w:val="BillHeading2"/>
        </w:rPr>
        <w:t xml:space="preserve">Be It Enacted </w:t>
      </w:r>
      <w:r>
        <w:rPr>
          <w:rStyle w:val="BillLanguage"/>
        </w:rPr>
        <w:t>by the Senate and General Assembly of the State of New Jersey:</w:t>
      </w:r>
    </w:p>
    <w:p w:rsidR="001A6240" w:rsidRDefault="001A6240" w:rsidP="001A6240"/>
    <w:p w:rsidR="00D617C5" w:rsidRPr="00D617C5" w:rsidRDefault="00D617C5" w:rsidP="00D617C5">
      <w:pPr>
        <w:rPr>
          <w:spacing w:val="0"/>
        </w:rPr>
      </w:pPr>
      <w:r>
        <w:rPr>
          <w:spacing w:val="0"/>
        </w:rPr>
        <w:tab/>
        <w:t>1.</w:t>
      </w:r>
      <w:r>
        <w:rPr>
          <w:spacing w:val="0"/>
        </w:rPr>
        <w:tab/>
      </w:r>
      <w:r w:rsidRPr="00D617C5">
        <w:rPr>
          <w:spacing w:val="0"/>
        </w:rPr>
        <w:t>Section 2 of P.L.1975, c.361 (C.54:3-27.2) is amended to read as follows:</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 xml:space="preserve">2.  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w:t>
      </w:r>
      <w:r w:rsidRPr="00D617C5">
        <w:rPr>
          <w:rFonts w:ascii="Albertus Extra Bold" w:hAnsi="Albertus Extra Bold"/>
          <w:b/>
          <w:vertAlign w:val="superscript"/>
        </w:rPr>
        <w:t>2</w:t>
      </w:r>
      <w:r w:rsidRPr="00D617C5">
        <w:rPr>
          <w:rFonts w:ascii="Albertus Extra Bold" w:hAnsi="Albertus Extra Bold"/>
          <w:b/>
        </w:rPr>
        <w:t>[</w:t>
      </w:r>
      <w:r w:rsidRPr="00D617C5">
        <w:rPr>
          <w:spacing w:val="0"/>
        </w:rPr>
        <w:t>,</w:t>
      </w:r>
      <w:r w:rsidRPr="00D617C5">
        <w:rPr>
          <w:rFonts w:ascii="Albertus Extra Bold" w:hAnsi="Albertus Extra Bold"/>
          <w:b/>
        </w:rPr>
        <w:t>]</w:t>
      </w:r>
      <w:r w:rsidRPr="00D617C5">
        <w:rPr>
          <w:spacing w:val="0"/>
          <w:u w:val="single"/>
        </w:rPr>
        <w:t>.  In the case of nonresidential real property, a municipality may refund the amount owed to the taxpayer</w:t>
      </w:r>
      <w:r w:rsidRPr="00D617C5">
        <w:rPr>
          <w:rFonts w:ascii="Albertus Extra Bold" w:hAnsi="Albertus Extra Bold"/>
          <w:b/>
          <w:vertAlign w:val="superscript"/>
        </w:rPr>
        <w:t>2</w:t>
      </w:r>
      <w:r w:rsidRPr="00D617C5">
        <w:rPr>
          <w:spacing w:val="0"/>
        </w:rPr>
        <w:t xml:space="preserve"> in substantially equal payment periods and substantially equal payment amounts within three years of the date of final judgment </w:t>
      </w:r>
      <w:r w:rsidRPr="00D617C5">
        <w:rPr>
          <w:rFonts w:ascii="Albertus Extra Bold" w:hAnsi="Albertus Extra Bold"/>
          <w:b/>
          <w:vertAlign w:val="superscript"/>
        </w:rPr>
        <w:t>2</w:t>
      </w:r>
      <w:r w:rsidRPr="00D617C5">
        <w:rPr>
          <w:spacing w:val="0"/>
          <w:u w:val="single"/>
        </w:rPr>
        <w:t>.  A municipality may also,</w:t>
      </w:r>
      <w:r w:rsidRPr="00D617C5">
        <w:rPr>
          <w:rFonts w:ascii="Albertus Extra Bold" w:hAnsi="Albertus Extra Bold"/>
          <w:b/>
          <w:vertAlign w:val="superscript"/>
        </w:rPr>
        <w:t>2</w:t>
      </w:r>
      <w:r w:rsidRPr="00D617C5">
        <w:rPr>
          <w:spacing w:val="0"/>
        </w:rPr>
        <w:t xml:space="preserve"> in the case of nonresidential real property </w:t>
      </w:r>
      <w:r w:rsidRPr="00D617C5">
        <w:rPr>
          <w:rFonts w:ascii="Albertus Extra Bold" w:hAnsi="Albertus Extra Bold"/>
          <w:b/>
          <w:vertAlign w:val="superscript"/>
        </w:rPr>
        <w:t>2</w:t>
      </w:r>
      <w:r w:rsidRPr="00D617C5">
        <w:rPr>
          <w:rFonts w:ascii="Albertus Extra Bold" w:hAnsi="Albertus Extra Bold"/>
          <w:b/>
        </w:rPr>
        <w:t>[</w:t>
      </w:r>
      <w:r w:rsidRPr="00D617C5">
        <w:rPr>
          <w:spacing w:val="0"/>
        </w:rPr>
        <w:t>; provided, however, that if</w:t>
      </w:r>
      <w:r w:rsidRPr="00D617C5">
        <w:rPr>
          <w:rFonts w:ascii="Albertus Extra Bold" w:hAnsi="Albertus Extra Bold"/>
          <w:b/>
        </w:rPr>
        <w:t>]</w:t>
      </w:r>
      <w:r w:rsidRPr="00D617C5">
        <w:rPr>
          <w:spacing w:val="0"/>
        </w:rPr>
        <w:t xml:space="preserve"> </w:t>
      </w:r>
      <w:r w:rsidRPr="00D617C5">
        <w:rPr>
          <w:spacing w:val="0"/>
          <w:u w:val="single"/>
        </w:rPr>
        <w:t>, refund the amount owed to the taxpayer as a credit, including any interest that accumulates until the excess is fully returned, against the balance of property taxes that become due and payable on the parcel of nonresidential real property immediately following the county board of taxation’s decision or the Tax Court judgment, as appropriate, but if the excess has not been fully refunded to the taxpayer in connection with the nonresidential real property after three years, then the remaining excess shall be immediately refunded.  If</w:t>
      </w:r>
      <w:r w:rsidRPr="00D617C5">
        <w:rPr>
          <w:rFonts w:ascii="Albertus Extra Bold" w:hAnsi="Albertus Extra Bold"/>
          <w:b/>
          <w:vertAlign w:val="superscript"/>
        </w:rPr>
        <w:t>2</w:t>
      </w:r>
      <w:r w:rsidRPr="00D617C5">
        <w:rPr>
          <w:spacing w:val="0"/>
        </w:rPr>
        <w:t xml:space="preserve"> the dollar amount of the refund </w:t>
      </w:r>
      <w:r w:rsidRPr="00D617C5">
        <w:rPr>
          <w:rFonts w:ascii="Albertus Extra Bold" w:hAnsi="Albertus Extra Bold"/>
          <w:b/>
          <w:vertAlign w:val="superscript"/>
        </w:rPr>
        <w:t>2</w:t>
      </w:r>
      <w:r w:rsidRPr="00D617C5">
        <w:rPr>
          <w:spacing w:val="0"/>
          <w:u w:val="single"/>
        </w:rPr>
        <w:t>due on nonresidential real property, however,</w:t>
      </w:r>
      <w:r w:rsidRPr="00D617C5">
        <w:rPr>
          <w:rFonts w:ascii="Albertus Extra Bold" w:hAnsi="Albertus Extra Bold"/>
          <w:b/>
          <w:vertAlign w:val="superscript"/>
        </w:rPr>
        <w:t>2</w:t>
      </w:r>
      <w:r w:rsidRPr="00D617C5">
        <w:rPr>
          <w:spacing w:val="0"/>
        </w:rPr>
        <w:t xml:space="preserve"> does not exceed $100,000, the amount shall be repaid within 60 days of the final judgment.  In the case of residential real property, the refund shall be paid within 60 days of the date of final judgment </w:t>
      </w:r>
      <w:r w:rsidRPr="00D617C5">
        <w:rPr>
          <w:rFonts w:ascii="Albertus Extra Bold" w:hAnsi="Albertus Extra Bold"/>
          <w:b/>
          <w:vertAlign w:val="superscript"/>
        </w:rPr>
        <w:t>2</w:t>
      </w:r>
      <w:r w:rsidRPr="00D617C5">
        <w:rPr>
          <w:rFonts w:ascii="Albertus Extra Bold" w:hAnsi="Albertus Extra Bold"/>
          <w:b/>
        </w:rPr>
        <w:t>[</w:t>
      </w:r>
      <w:r w:rsidRPr="00D617C5">
        <w:rPr>
          <w:spacing w:val="0"/>
          <w:u w:val="single"/>
        </w:rPr>
        <w:t>; except that a</w:t>
      </w:r>
      <w:r w:rsidRPr="00D617C5">
        <w:rPr>
          <w:rFonts w:ascii="Albertus Extra Bold" w:hAnsi="Albertus Extra Bold"/>
          <w:b/>
        </w:rPr>
        <w:t>]</w:t>
      </w:r>
      <w:r w:rsidRPr="00D617C5">
        <w:rPr>
          <w:spacing w:val="0"/>
          <w:u w:val="single"/>
        </w:rPr>
        <w:t>.</w:t>
      </w:r>
      <w:r w:rsidRPr="00D617C5">
        <w:rPr>
          <w:spacing w:val="0"/>
        </w:rPr>
        <w:t xml:space="preserve"> </w:t>
      </w:r>
      <w:r w:rsidRPr="00D617C5">
        <w:rPr>
          <w:rFonts w:ascii="Albertus Extra Bold" w:hAnsi="Albertus Extra Bold"/>
          <w:vertAlign w:val="superscript"/>
        </w:rPr>
        <w:t>2</w:t>
      </w:r>
      <w:r w:rsidRPr="00D617C5">
        <w:rPr>
          <w:spacing w:val="0"/>
        </w:rPr>
        <w:t xml:space="preserve"> </w:t>
      </w:r>
      <w:r w:rsidRPr="00D617C5">
        <w:rPr>
          <w:rFonts w:ascii="Albertus Extra Bold" w:hAnsi="Albertus Extra Bold"/>
          <w:b/>
          <w:vertAlign w:val="superscript"/>
        </w:rPr>
        <w:t>2</w:t>
      </w:r>
      <w:r w:rsidRPr="00D617C5">
        <w:rPr>
          <w:rFonts w:ascii="Albertus Extra Bold" w:hAnsi="Albertus Extra Bold"/>
          <w:b/>
        </w:rPr>
        <w:t>[</w:t>
      </w:r>
      <w:r w:rsidRPr="00D617C5">
        <w:rPr>
          <w:spacing w:val="0"/>
          <w:u w:val="single"/>
        </w:rPr>
        <w:t>municipality may refund the amount owed to the taxpayer as a credit</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including any interest that accumulates until the excess is fully returned,</w:t>
      </w:r>
      <w:r w:rsidRPr="00D617C5">
        <w:rPr>
          <w:rFonts w:ascii="Albertus Extra Bold" w:hAnsi="Albertus Extra Bold"/>
          <w:b/>
          <w:spacing w:val="0"/>
          <w:vertAlign w:val="superscript"/>
        </w:rPr>
        <w:t>1</w:t>
      </w:r>
      <w:r w:rsidRPr="00D617C5">
        <w:rPr>
          <w:spacing w:val="0"/>
        </w:rPr>
        <w:t xml:space="preserve"> </w:t>
      </w:r>
      <w:r w:rsidRPr="00D617C5">
        <w:rPr>
          <w:spacing w:val="0"/>
          <w:u w:val="single"/>
        </w:rPr>
        <w:t xml:space="preserve">against the balance of property taxes that become due and payable on the parcel of real property immediately following the county board of taxation’s </w:t>
      </w:r>
      <w:r w:rsidRPr="00D617C5">
        <w:rPr>
          <w:spacing w:val="0"/>
          <w:u w:val="single"/>
        </w:rPr>
        <w:lastRenderedPageBreak/>
        <w:t>decision, or the Tax Court judgment, as appropriate</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If the excess has not been fully refunded to the taxpayer after three years, then the remaining excess shall immediately be refunded</w:t>
      </w:r>
      <w:r w:rsidRPr="00D617C5">
        <w:rPr>
          <w:rFonts w:ascii="Albertus Extra Bold" w:hAnsi="Albertus Extra Bold"/>
          <w:b/>
          <w:spacing w:val="0"/>
          <w:vertAlign w:val="superscript"/>
        </w:rPr>
        <w:t>1</w:t>
      </w:r>
      <w:r w:rsidRPr="00D617C5">
        <w:rPr>
          <w:spacing w:val="0"/>
        </w:rPr>
        <w:t>.</w:t>
      </w:r>
      <w:r w:rsidRPr="00D617C5">
        <w:rPr>
          <w:rFonts w:ascii="Albertus Extra Bold" w:hAnsi="Albertus Extra Bold"/>
          <w:b/>
        </w:rPr>
        <w:t>]</w:t>
      </w:r>
      <w:r w:rsidRPr="00D617C5">
        <w:rPr>
          <w:rFonts w:ascii="Albertus Extra Bold" w:hAnsi="Albertus Extra Bold"/>
          <w:b/>
          <w:vertAlign w:val="superscript"/>
        </w:rPr>
        <w:t>2</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w:t>
      </w:r>
      <w:proofErr w:type="spellStart"/>
      <w:r w:rsidRPr="00D617C5">
        <w:rPr>
          <w:spacing w:val="0"/>
        </w:rPr>
        <w:t>cf</w:t>
      </w:r>
      <w:proofErr w:type="spellEnd"/>
      <w:r w:rsidRPr="00D617C5">
        <w:rPr>
          <w:spacing w:val="0"/>
        </w:rPr>
        <w:t>:  P.L.2019, c.230, s.1)</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Section 2 of P.L.1983, c.137 (C.54:4-134) is amended to read as follows:</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a.  (1)  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(2)</w:t>
      </w:r>
      <w:r w:rsidRPr="00D617C5">
        <w:rPr>
          <w:spacing w:val="0"/>
        </w:rPr>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ab/>
        <w:t>b.</w:t>
      </w:r>
      <w:r w:rsidRPr="00D617C5">
        <w:rPr>
          <w:spacing w:val="0"/>
        </w:rPr>
        <w:tab/>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Pr="00D617C5">
        <w:rPr>
          <w:spacing w:val="0"/>
          <w:u w:val="single"/>
        </w:rPr>
        <w:t>; except that</w:t>
      </w:r>
      <w:r w:rsidRPr="00D617C5">
        <w:rPr>
          <w:spacing w:val="0"/>
        </w:rPr>
        <w:t xml:space="preserve"> </w:t>
      </w:r>
      <w:r w:rsidRPr="00D617C5">
        <w:rPr>
          <w:rFonts w:ascii="Albertus Extra Bold" w:hAnsi="Albertus Extra Bold"/>
          <w:b/>
          <w:vertAlign w:val="superscript"/>
        </w:rPr>
        <w:t>2</w:t>
      </w:r>
      <w:r w:rsidRPr="00D617C5">
        <w:rPr>
          <w:spacing w:val="0"/>
          <w:u w:val="single"/>
        </w:rPr>
        <w:t>, in the case of nonresidential real property,</w:t>
      </w:r>
      <w:r w:rsidRPr="00D617C5">
        <w:rPr>
          <w:rFonts w:ascii="Albertus Extra Bold" w:hAnsi="Albertus Extra Bold"/>
          <w:b/>
          <w:vertAlign w:val="superscript"/>
        </w:rPr>
        <w:t>2</w:t>
      </w:r>
      <w:r w:rsidRPr="00D617C5">
        <w:rPr>
          <w:spacing w:val="0"/>
        </w:rPr>
        <w:t xml:space="preserve"> </w:t>
      </w:r>
      <w:r w:rsidRPr="00D617C5">
        <w:rPr>
          <w:spacing w:val="0"/>
          <w:u w:val="single"/>
        </w:rPr>
        <w:t>a municipality may refund the amount owed to the taxpayer as a credit</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including any interest that accumulates until the excess is fully returned,</w:t>
      </w:r>
      <w:r w:rsidRPr="00D617C5">
        <w:rPr>
          <w:rFonts w:ascii="Albertus Extra Bold" w:hAnsi="Albertus Extra Bold"/>
          <w:b/>
          <w:spacing w:val="0"/>
          <w:vertAlign w:val="superscript"/>
        </w:rPr>
        <w:t>1</w:t>
      </w:r>
      <w:r w:rsidRPr="00D617C5">
        <w:rPr>
          <w:spacing w:val="0"/>
        </w:rPr>
        <w:t xml:space="preserve"> </w:t>
      </w:r>
      <w:r w:rsidRPr="00D617C5">
        <w:rPr>
          <w:spacing w:val="0"/>
          <w:u w:val="single"/>
        </w:rPr>
        <w:t>against the balance of property taxes that become due and payable on the parcel of</w:t>
      </w:r>
      <w:r w:rsidRPr="00D617C5">
        <w:rPr>
          <w:spacing w:val="0"/>
        </w:rPr>
        <w:t xml:space="preserve"> </w:t>
      </w:r>
      <w:r w:rsidRPr="00D617C5">
        <w:rPr>
          <w:rFonts w:ascii="Albertus Extra Bold" w:hAnsi="Albertus Extra Bold"/>
          <w:b/>
          <w:vertAlign w:val="superscript"/>
        </w:rPr>
        <w:t>2</w:t>
      </w:r>
      <w:r w:rsidRPr="00D617C5">
        <w:rPr>
          <w:spacing w:val="0"/>
          <w:u w:val="single"/>
        </w:rPr>
        <w:t>nonresidential</w:t>
      </w:r>
      <w:r w:rsidRPr="00D617C5">
        <w:rPr>
          <w:rFonts w:ascii="Albertus Extra Bold" w:hAnsi="Albertus Extra Bold"/>
          <w:b/>
          <w:vertAlign w:val="superscript"/>
        </w:rPr>
        <w:t>2</w:t>
      </w:r>
      <w:r w:rsidRPr="00D617C5">
        <w:rPr>
          <w:spacing w:val="0"/>
        </w:rPr>
        <w:t xml:space="preserve"> </w:t>
      </w:r>
      <w:r w:rsidRPr="00D617C5">
        <w:rPr>
          <w:spacing w:val="0"/>
          <w:u w:val="single"/>
        </w:rPr>
        <w:t>real property immediately following the county board of taxation’s decision, or the Tax Court judgment, as appropriate</w:t>
      </w:r>
      <w:r w:rsidRPr="00D617C5">
        <w:rPr>
          <w:spacing w:val="0"/>
        </w:rPr>
        <w:t xml:space="preserve"> </w:t>
      </w:r>
      <w:r w:rsidRPr="00D617C5">
        <w:rPr>
          <w:rFonts w:ascii="Albertus Extra Bold" w:hAnsi="Albertus Extra Bold"/>
          <w:b/>
          <w:spacing w:val="0"/>
          <w:vertAlign w:val="superscript"/>
        </w:rPr>
        <w:t>1</w:t>
      </w:r>
      <w:r w:rsidRPr="00D617C5">
        <w:rPr>
          <w:spacing w:val="0"/>
          <w:u w:val="single"/>
        </w:rPr>
        <w:t>.  If the excess has not been fully refunded to the taxpayer after three years, then the remaining excess shall immediately be refunded</w:t>
      </w:r>
      <w:r w:rsidRPr="00D617C5">
        <w:rPr>
          <w:rFonts w:ascii="Albertus Extra Bold" w:hAnsi="Albertus Extra Bold"/>
          <w:b/>
          <w:spacing w:val="0"/>
          <w:vertAlign w:val="superscript"/>
        </w:rPr>
        <w:t>1</w:t>
      </w:r>
      <w:r w:rsidRPr="00D617C5">
        <w:rPr>
          <w:spacing w:val="0"/>
        </w:rPr>
        <w:t>.  If the total amount of the delinquency exceeds the total amount of the refund, the balance of the delinquency remaining shall remain a lien against the property.</w:t>
      </w:r>
    </w:p>
    <w:p w:rsidR="00D617C5" w:rsidRPr="00D617C5"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17C5">
        <w:rPr>
          <w:spacing w:val="0"/>
        </w:rPr>
        <w:t>(</w:t>
      </w:r>
      <w:proofErr w:type="spellStart"/>
      <w:r w:rsidRPr="00D617C5">
        <w:rPr>
          <w:spacing w:val="0"/>
        </w:rPr>
        <w:t>cf</w:t>
      </w:r>
      <w:proofErr w:type="spellEnd"/>
      <w:r w:rsidRPr="00D617C5">
        <w:rPr>
          <w:spacing w:val="0"/>
        </w:rPr>
        <w:t>:  P.L.2012, c.19, s.2)</w:t>
      </w:r>
    </w:p>
    <w:p w:rsidR="001A6240" w:rsidRDefault="001A6240" w:rsidP="001A6240"/>
    <w:p w:rsidR="001A6240" w:rsidRDefault="001A6240" w:rsidP="001A6240">
      <w:r>
        <w:tab/>
        <w:t>3.</w:t>
      </w:r>
      <w:r>
        <w:tab/>
        <w:t>This act shall take effect immediately.</w:t>
      </w:r>
    </w:p>
    <w:p w:rsidR="0074558A" w:rsidRDefault="0074558A" w:rsidP="001A6240"/>
    <w:p w:rsidR="0074558A" w:rsidRDefault="0074558A" w:rsidP="001A6240"/>
    <w:p w:rsidR="0074558A" w:rsidRDefault="0074558A" w:rsidP="0074558A">
      <w:pPr>
        <w:jc w:val="center"/>
      </w:pPr>
      <w:r>
        <w:rPr>
          <w:u w:val="single"/>
        </w:rPr>
        <w:t>                                </w:t>
      </w:r>
    </w:p>
    <w:p w:rsidR="0074558A" w:rsidRDefault="0074558A" w:rsidP="0074558A">
      <w:pPr>
        <w:jc w:val="center"/>
      </w:pPr>
    </w:p>
    <w:p w:rsidR="0074558A" w:rsidRPr="0074558A" w:rsidRDefault="0074558A" w:rsidP="00BF5A96">
      <w:bookmarkStart w:id="1" w:name="_GoBack"/>
      <w:bookmarkEnd w:id="1"/>
      <w:r>
        <w:tab/>
        <w:t xml:space="preserve">Permits municipalities to refund excess property taxes paid by a taxpayer who wins an assessment appeal as a property tax credit. </w:t>
      </w:r>
    </w:p>
    <w:sectPr w:rsidR="0074558A" w:rsidRPr="0074558A" w:rsidSect="0074558A">
      <w:headerReference w:type="default" r:id="rId9"/>
      <w:footerReference w:type="default" r:id="rId10"/>
      <w:type w:val="continuous"/>
      <w:pgSz w:w="12240" w:h="20160" w:code="5"/>
      <w:pgMar w:top="1440" w:right="2520" w:bottom="1350" w:left="2880" w:header="1181" w:footer="5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AD" w:rsidRPr="00921C91" w:rsidRDefault="00BC5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FAD" w:rsidRPr="00921C91" w:rsidRDefault="00BC5FAD">
    <w:pPr>
      <w:pStyle w:val="Footer"/>
      <w:rPr>
        <w:szCs w:val="18"/>
      </w:rPr>
    </w:pPr>
  </w:p>
  <w:p w:rsidR="00BC5FAD" w:rsidRPr="00921C91" w:rsidRDefault="00BC5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96A" w:rsidRDefault="00707AAE">
    <w:pPr>
      <w:pStyle w:val="Footer"/>
    </w:pPr>
    <w:r>
      <w:tab/>
      <w:t>Matter enclosed in superscript numerals has been adopted as follows:</w:t>
    </w:r>
  </w:p>
  <w:p w:rsidR="006C1974" w:rsidRDefault="0074496A">
    <w:pPr>
      <w:pStyle w:val="Footer"/>
      <w:rPr>
        <w:rFonts w:ascii="AlbertusExtraBold" w:hAnsi="AlbertusExtraBold"/>
      </w:rPr>
    </w:pPr>
    <w:r>
      <w:tab/>
    </w:r>
    <w:r w:rsidR="006C1974" w:rsidRPr="006C1974">
      <w:rPr>
        <w:rFonts w:ascii="Albertus Extra Bold" w:hAnsi="Albertus Extra Bold"/>
        <w:spacing w:val="4"/>
        <w:szCs w:val="18"/>
        <w:vertAlign w:val="superscript"/>
      </w:rPr>
      <w:t>1</w:t>
    </w:r>
    <w:r>
      <w:rPr>
        <w:rFonts w:ascii="AlbertusExtraBold" w:hAnsi="AlbertusExtraBold"/>
      </w:rPr>
      <w:t>Assembly floor amendments adopted June 21, 2021.</w:t>
    </w:r>
  </w:p>
  <w:p w:rsidR="006C1974" w:rsidRDefault="006C197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74496A" w:rsidRDefault="006C1974">
    <w:pPr>
      <w:pStyle w:val="Footer"/>
      <w:rPr>
        <w:rFonts w:ascii="AlbertusExtraBold" w:hAnsi="AlbertusExtraBold"/>
      </w:rPr>
    </w:pPr>
    <w:r>
      <w:rPr>
        <w:rFonts w:ascii="AlbertusExtraBold" w:hAnsi="AlbertusExtraBold"/>
      </w:rPr>
      <w:t xml:space="preserve">     recommendations January 10, 2022.</w:t>
    </w:r>
  </w:p>
  <w:p w:rsidR="006C1974" w:rsidRPr="006C1974" w:rsidRDefault="006C1974">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58A" w:rsidRDefault="00745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282" w:rsidRDefault="00AB5282" w:rsidP="00AB5282">
    <w:pPr>
      <w:pStyle w:val="bpuHeadSpon"/>
    </w:pPr>
    <w:r w:rsidRPr="00AB5282">
      <w:rPr>
        <w:rStyle w:val="bpuHeadSponChar"/>
      </w:rPr>
      <w:t>A862</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74558A">
      <w:rPr>
        <w:noProof/>
      </w:rPr>
      <w:t>2</w:t>
    </w:r>
    <w:r>
      <w:fldChar w:fldCharType="end"/>
    </w:r>
  </w:p>
  <w:p w:rsidR="00AB5282" w:rsidRPr="00AF575C" w:rsidRDefault="00AB5282" w:rsidP="00AB528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58A" w:rsidRDefault="0074558A" w:rsidP="000D6DFF">
    <w:pPr>
      <w:pStyle w:val="Header"/>
      <w:jc w:val="center"/>
      <w:rPr>
        <w:rStyle w:val="PageNumber"/>
      </w:rPr>
    </w:pPr>
  </w:p>
  <w:p w:rsidR="0074558A" w:rsidRDefault="0074558A" w:rsidP="00AB5282">
    <w:pPr>
      <w:pStyle w:val="bpuHeadSpon"/>
    </w:pPr>
    <w:r w:rsidRPr="00AB5282">
      <w:rPr>
        <w:rStyle w:val="bpuHeadSponChar"/>
      </w:rPr>
      <w:t>A862</w:t>
    </w:r>
  </w:p>
  <w:p w:rsidR="0074558A" w:rsidRDefault="0074558A" w:rsidP="00AB5282">
    <w:pPr>
      <w:pStyle w:val="bpuHeadSpon"/>
    </w:pPr>
    <w:r>
      <w:fldChar w:fldCharType="begin"/>
    </w:r>
    <w:r>
      <w:instrText xml:space="preserve"> PAGE  \* MERGEFORMAT </w:instrText>
    </w:r>
    <w:r>
      <w:fldChar w:fldCharType="separate"/>
    </w:r>
    <w:r w:rsidR="00996BF5">
      <w:rPr>
        <w:noProof/>
      </w:rPr>
      <w:t>3</w:t>
    </w:r>
    <w:r>
      <w:fldChar w:fldCharType="end"/>
    </w:r>
  </w:p>
  <w:p w:rsidR="0074558A" w:rsidRPr="00AF575C" w:rsidRDefault="0074558A" w:rsidP="00AB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050"/>
    <w:rsid w:val="002373F3"/>
    <w:rsid w:val="002463CF"/>
    <w:rsid w:val="0026254F"/>
    <w:rsid w:val="00266FB9"/>
    <w:rsid w:val="00274341"/>
    <w:rsid w:val="0028159B"/>
    <w:rsid w:val="00296363"/>
    <w:rsid w:val="002A16E7"/>
    <w:rsid w:val="002A5386"/>
    <w:rsid w:val="002A71FA"/>
    <w:rsid w:val="002B4C4D"/>
    <w:rsid w:val="002B4DA4"/>
    <w:rsid w:val="002B67F7"/>
    <w:rsid w:val="002C16CA"/>
    <w:rsid w:val="002C58D4"/>
    <w:rsid w:val="002E0975"/>
    <w:rsid w:val="002E1440"/>
    <w:rsid w:val="002E2980"/>
    <w:rsid w:val="002E360E"/>
    <w:rsid w:val="00304565"/>
    <w:rsid w:val="00307F11"/>
    <w:rsid w:val="0031075B"/>
    <w:rsid w:val="00317C73"/>
    <w:rsid w:val="003212E6"/>
    <w:rsid w:val="00333EF1"/>
    <w:rsid w:val="00346CF5"/>
    <w:rsid w:val="00352F8B"/>
    <w:rsid w:val="00354D07"/>
    <w:rsid w:val="00354FD3"/>
    <w:rsid w:val="003702B5"/>
    <w:rsid w:val="0037458C"/>
    <w:rsid w:val="00381407"/>
    <w:rsid w:val="0038486B"/>
    <w:rsid w:val="0038559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3FA"/>
    <w:rsid w:val="004A5222"/>
    <w:rsid w:val="004B0CE3"/>
    <w:rsid w:val="004B5AD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77A"/>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0B18"/>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35C1"/>
    <w:rsid w:val="00686754"/>
    <w:rsid w:val="006878F9"/>
    <w:rsid w:val="0069522C"/>
    <w:rsid w:val="00695BC5"/>
    <w:rsid w:val="006A3786"/>
    <w:rsid w:val="006B2FCF"/>
    <w:rsid w:val="006C1974"/>
    <w:rsid w:val="006C3B76"/>
    <w:rsid w:val="006C4542"/>
    <w:rsid w:val="006D65B4"/>
    <w:rsid w:val="006E36B4"/>
    <w:rsid w:val="006F4C44"/>
    <w:rsid w:val="006F652B"/>
    <w:rsid w:val="0070018A"/>
    <w:rsid w:val="00707AAE"/>
    <w:rsid w:val="00712CBE"/>
    <w:rsid w:val="00730582"/>
    <w:rsid w:val="00741A09"/>
    <w:rsid w:val="0074496A"/>
    <w:rsid w:val="0074558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A2C"/>
    <w:rsid w:val="00806253"/>
    <w:rsid w:val="00817F6B"/>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B313B"/>
    <w:rsid w:val="008B4545"/>
    <w:rsid w:val="008B5D1F"/>
    <w:rsid w:val="008B6E84"/>
    <w:rsid w:val="008C6FA9"/>
    <w:rsid w:val="008D35C6"/>
    <w:rsid w:val="008D455C"/>
    <w:rsid w:val="008D62DB"/>
    <w:rsid w:val="008E3B9B"/>
    <w:rsid w:val="008E4F67"/>
    <w:rsid w:val="008F6A7A"/>
    <w:rsid w:val="00902B2D"/>
    <w:rsid w:val="00915B98"/>
    <w:rsid w:val="00931963"/>
    <w:rsid w:val="00933C9C"/>
    <w:rsid w:val="00940A2C"/>
    <w:rsid w:val="0094377E"/>
    <w:rsid w:val="009467BF"/>
    <w:rsid w:val="0094723D"/>
    <w:rsid w:val="009564BC"/>
    <w:rsid w:val="0095650E"/>
    <w:rsid w:val="00966445"/>
    <w:rsid w:val="00967FED"/>
    <w:rsid w:val="00980A56"/>
    <w:rsid w:val="00986E4C"/>
    <w:rsid w:val="009937ED"/>
    <w:rsid w:val="00993BCE"/>
    <w:rsid w:val="00996BF5"/>
    <w:rsid w:val="009A28BB"/>
    <w:rsid w:val="009A5E9B"/>
    <w:rsid w:val="009B0B5A"/>
    <w:rsid w:val="009B141C"/>
    <w:rsid w:val="009B5662"/>
    <w:rsid w:val="009C3EDF"/>
    <w:rsid w:val="009C76BC"/>
    <w:rsid w:val="009D0F6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0A5"/>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6E6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D8A"/>
    <w:rsid w:val="00BB2482"/>
    <w:rsid w:val="00BC4545"/>
    <w:rsid w:val="00BC5FAD"/>
    <w:rsid w:val="00BD79EC"/>
    <w:rsid w:val="00BE204A"/>
    <w:rsid w:val="00BE26FC"/>
    <w:rsid w:val="00BF23C7"/>
    <w:rsid w:val="00BF5A96"/>
    <w:rsid w:val="00BF7456"/>
    <w:rsid w:val="00C035F3"/>
    <w:rsid w:val="00C078A1"/>
    <w:rsid w:val="00C232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F5F"/>
    <w:rsid w:val="00D31191"/>
    <w:rsid w:val="00D33F23"/>
    <w:rsid w:val="00D34C64"/>
    <w:rsid w:val="00D34D11"/>
    <w:rsid w:val="00D41401"/>
    <w:rsid w:val="00D57B94"/>
    <w:rsid w:val="00D6038F"/>
    <w:rsid w:val="00D617C5"/>
    <w:rsid w:val="00D66913"/>
    <w:rsid w:val="00D72DA0"/>
    <w:rsid w:val="00D776DB"/>
    <w:rsid w:val="00D77ACD"/>
    <w:rsid w:val="00D77E55"/>
    <w:rsid w:val="00D81BE1"/>
    <w:rsid w:val="00D82FE6"/>
    <w:rsid w:val="00D83515"/>
    <w:rsid w:val="00D84AE0"/>
    <w:rsid w:val="00D868A7"/>
    <w:rsid w:val="00D86B15"/>
    <w:rsid w:val="00D9742E"/>
    <w:rsid w:val="00D97D3E"/>
    <w:rsid w:val="00DA6AA9"/>
    <w:rsid w:val="00DB4DA1"/>
    <w:rsid w:val="00DB5B8E"/>
    <w:rsid w:val="00DC19C7"/>
    <w:rsid w:val="00DC283E"/>
    <w:rsid w:val="00DC75BA"/>
    <w:rsid w:val="00DC7679"/>
    <w:rsid w:val="00DD1E46"/>
    <w:rsid w:val="00DF4E47"/>
    <w:rsid w:val="00E0012A"/>
    <w:rsid w:val="00E017D1"/>
    <w:rsid w:val="00E025E4"/>
    <w:rsid w:val="00E03582"/>
    <w:rsid w:val="00E05DFC"/>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1939"/>
    <w:rsid w:val="00EB28D8"/>
    <w:rsid w:val="00EB6042"/>
    <w:rsid w:val="00EB71AE"/>
    <w:rsid w:val="00EC050B"/>
    <w:rsid w:val="00EE77BF"/>
    <w:rsid w:val="00EF5225"/>
    <w:rsid w:val="00F0415D"/>
    <w:rsid w:val="00F14E45"/>
    <w:rsid w:val="00F17CFC"/>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784DD-6303-4952-8BC8-EA2F180F6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1059</Words>
  <Characters>5333</Characters>
  <Application>Microsoft Office Word</Application>
  <DocSecurity>0</DocSecurity>
  <Lines>115</Lines>
  <Paragraphs>15</Paragraphs>
  <ScaleCrop>false</ScaleCrop>
  <HeadingPairs>
    <vt:vector size="2" baseType="variant">
      <vt:variant>
        <vt:lpstr>Title</vt:lpstr>
      </vt:variant>
      <vt:variant>
        <vt:i4>1</vt:i4>
      </vt:variant>
    </vt:vector>
  </HeadingPairs>
  <TitlesOfParts>
    <vt:vector size="1" baseType="lpstr">
      <vt:lpstr>P.L. 2021, c.432</vt:lpstr>
    </vt:vector>
  </TitlesOfParts>
  <Manager>Kenneth P. Howard</Manager>
  <Company>OFFICE of LEGISLATIVE SERVICES</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c.432 (A862 2R)</dc:title>
  <dc:creator>Assembly, No. 862 (Second Reprint)</dc:creator>
  <cp:keywords>A862|3| ||0|0|!|0|</cp:keywords>
  <dc:description>PREFILED 2020_x000d_
TR'D 6/9/21_x000d_
Amended 6/21/21_x000d_
Amended by CV 1/10/22</dc:description>
  <cp:lastModifiedBy>Todaro, Vivian</cp:lastModifiedBy>
  <cp:revision>2</cp:revision>
  <cp:lastPrinted>2021-12-27T13:46:00Z</cp:lastPrinted>
  <dcterms:created xsi:type="dcterms:W3CDTF">2022-03-21T14:37:00Z</dcterms:created>
  <dcterms:modified xsi:type="dcterms:W3CDTF">2022-03-21T14:37:00Z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c.432</vt:lpwstr>
  </property>
</Properties>
</file>