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E5C" w:rsidRDefault="003B5E5C" w:rsidP="003B5E5C">
      <w:pPr>
        <w:pStyle w:val="HangingAnAct"/>
        <w:suppressLineNumbers/>
        <w:rPr>
          <w:rStyle w:val="BillHead"/>
        </w:rPr>
        <w:sectPr w:rsidR="003B5E5C" w:rsidSect="007F5573">
          <w:headerReference w:type="default" r:id="rId7"/>
          <w:footerReference w:type="first" r:id="rId8"/>
          <w:pgSz w:w="12240" w:h="20160" w:code="5"/>
          <w:pgMar w:top="1440" w:right="2520" w:bottom="1872" w:left="2880" w:header="1181" w:footer="1056" w:gutter="0"/>
          <w:lnNumType w:countBy="1"/>
          <w:cols w:space="720"/>
          <w:titlePg/>
          <w:docGrid w:linePitch="360"/>
        </w:sectPr>
      </w:pPr>
    </w:p>
    <w:p w:rsidR="003B5E5C" w:rsidRDefault="003B5E5C" w:rsidP="003B5E5C">
      <w:pPr>
        <w:ind w:left="6048"/>
      </w:pPr>
      <w:r>
        <w:t>§2</w:t>
      </w:r>
    </w:p>
    <w:p w:rsidR="003B5E5C" w:rsidRDefault="003B5E5C" w:rsidP="003B5E5C">
      <w:pPr>
        <w:ind w:left="6048"/>
      </w:pPr>
      <w:r>
        <w:t>Note</w:t>
      </w:r>
    </w:p>
    <w:p w:rsidR="003B5E5C" w:rsidRDefault="003B5E5C" w:rsidP="003B5E5C">
      <w:pPr>
        <w:ind w:left="6048"/>
      </w:pPr>
    </w:p>
    <w:p w:rsidR="003B5E5C" w:rsidRDefault="003B5E5C" w:rsidP="003B5E5C">
      <w:pPr>
        <w:sectPr w:rsidR="003B5E5C" w:rsidSect="003B5E5C">
          <w:type w:val="continuous"/>
          <w:pgSz w:w="12240" w:h="20160" w:code="5"/>
          <w:pgMar w:top="1440" w:right="1440" w:bottom="1872" w:left="2880" w:header="72" w:footer="720" w:gutter="0"/>
          <w:cols w:space="720"/>
          <w:titlePg/>
          <w:docGrid w:linePitch="360"/>
        </w:sectPr>
      </w:pPr>
    </w:p>
    <w:p w:rsidR="003B5E5C" w:rsidRDefault="003B5E5C" w:rsidP="003B5E5C">
      <w:pPr>
        <w:jc w:val="center"/>
      </w:pPr>
      <w:bookmarkStart w:id="0" w:name="LCPL"/>
      <w:bookmarkEnd w:id="0"/>
      <w:r>
        <w:t>P.L. 2021, CHAPTER 467,</w:t>
      </w:r>
      <w:r>
        <w:rPr>
          <w:b/>
          <w:i/>
        </w:rPr>
        <w:t xml:space="preserve"> approved January 18, 2022</w:t>
      </w:r>
    </w:p>
    <w:p w:rsidR="003B5E5C" w:rsidRDefault="003B5E5C" w:rsidP="003B5E5C">
      <w:pPr>
        <w:jc w:val="center"/>
      </w:pPr>
      <w:r>
        <w:t xml:space="preserve">Assembly, No. 5322 </w:t>
      </w:r>
      <w:r w:rsidRPr="003B5E5C">
        <w:rPr>
          <w:b/>
          <w:i/>
        </w:rPr>
        <w:t>(Second Reprint)</w:t>
      </w:r>
    </w:p>
    <w:p w:rsidR="003B5E5C" w:rsidRDefault="003B5E5C" w:rsidP="003B5E5C">
      <w:pPr>
        <w:jc w:val="center"/>
      </w:pPr>
    </w:p>
    <w:p w:rsidR="003B5E5C" w:rsidRPr="003B5E5C" w:rsidRDefault="003B5E5C" w:rsidP="003B5E5C">
      <w:pPr>
        <w:jc w:val="center"/>
      </w:pPr>
    </w:p>
    <w:p w:rsidR="003B5E5C" w:rsidRPr="003B5E5C" w:rsidRDefault="003B5E5C" w:rsidP="003B5E5C">
      <w:pPr>
        <w:sectPr w:rsidR="003B5E5C" w:rsidRPr="003B5E5C" w:rsidSect="003B5E5C">
          <w:type w:val="continuous"/>
          <w:pgSz w:w="12240" w:h="20160" w:code="5"/>
          <w:pgMar w:top="2880" w:right="1440" w:bottom="1872" w:left="1440" w:header="72" w:footer="720" w:gutter="0"/>
          <w:cols w:space="720"/>
          <w:docGrid w:linePitch="360"/>
        </w:sectPr>
      </w:pPr>
    </w:p>
    <w:p w:rsidR="000301E6" w:rsidRPr="00677316" w:rsidRDefault="000301E6" w:rsidP="000301E6">
      <w:pPr>
        <w:pStyle w:val="HangingAnAct"/>
        <w:rPr>
          <w:rStyle w:val="HangingAnActChar"/>
        </w:rPr>
      </w:pPr>
      <w:r w:rsidRPr="000301E6">
        <w:rPr>
          <w:rStyle w:val="BillHead"/>
        </w:rPr>
        <w:t>An Act</w:t>
      </w:r>
      <w:r w:rsidRPr="006B7FA7">
        <w:rPr>
          <w:rStyle w:val="HangingAnActChar"/>
        </w:rPr>
        <w:t xml:space="preserve"> </w:t>
      </w:r>
      <w:r>
        <w:t xml:space="preserve">concerning relief from criminal and </w:t>
      </w:r>
      <w:r w:rsidR="00FC7606">
        <w:t>o</w:t>
      </w:r>
      <w:r w:rsidR="00C33AB6">
        <w:t xml:space="preserve">ther proceedings pertaining to </w:t>
      </w:r>
      <w:r w:rsidR="00FC7606">
        <w:t>certain violations o</w:t>
      </w:r>
      <w:r>
        <w:t>r alleged violations of law committed by a person while a victim of human trafficking, and amending P.L.2013, c.51.</w:t>
      </w:r>
    </w:p>
    <w:p w:rsidR="000301E6" w:rsidRPr="00D71D68" w:rsidRDefault="000301E6" w:rsidP="000301E6"/>
    <w:p w:rsidR="000301E6" w:rsidRDefault="000301E6" w:rsidP="000301E6">
      <w:pPr>
        <w:rPr>
          <w:rStyle w:val="BillLanguage"/>
        </w:rPr>
      </w:pPr>
      <w:r>
        <w:tab/>
      </w:r>
      <w:r>
        <w:rPr>
          <w:rStyle w:val="BillHeading2"/>
        </w:rPr>
        <w:t xml:space="preserve">Be It Enacted </w:t>
      </w:r>
      <w:r>
        <w:rPr>
          <w:rStyle w:val="BillLanguage"/>
        </w:rPr>
        <w:t>by the Senate and General Assembly of the State of New Jersey:</w:t>
      </w:r>
    </w:p>
    <w:p w:rsidR="000301E6" w:rsidRDefault="000301E6" w:rsidP="000301E6">
      <w:pPr>
        <w:rPr>
          <w:rStyle w:val="BillLanguage"/>
        </w:rPr>
      </w:pP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1.</w:t>
      </w:r>
      <w:r w:rsidRPr="002D6E11">
        <w:rPr>
          <w:spacing w:val="0"/>
        </w:rPr>
        <w:tab/>
        <w:t>Section 10 of P.L.2013, c.51 (C.2C:44-1.1) is amended to read as follows:</w:t>
      </w:r>
    </w:p>
    <w:p w:rsidR="002D6E11" w:rsidRPr="002D6E11" w:rsidRDefault="007B5572"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10.  </w:t>
      </w:r>
      <w:r w:rsidR="002D6E11" w:rsidRPr="002D6E11">
        <w:rPr>
          <w:spacing w:val="0"/>
        </w:rPr>
        <w:t xml:space="preserve">a.  (1)  A person convicted of </w:t>
      </w:r>
      <w:r w:rsidR="002D6E11" w:rsidRPr="002D6E11">
        <w:rPr>
          <w:rFonts w:ascii="Albertus Extra Bold" w:hAnsi="Albertus Extra Bold"/>
          <w:spacing w:val="0"/>
        </w:rPr>
        <w:t>[</w:t>
      </w:r>
      <w:r w:rsidR="002D6E11" w:rsidRPr="002D6E11">
        <w:rPr>
          <w:spacing w:val="0"/>
        </w:rPr>
        <w:t>N.J.S.2C:34-1, prostitution and related offenses, or section 3 of P.L.1997, c.93 (C.2C:34-1.1), loitering for the purpose of engaging in prostitution, or a similar local ordinance,</w:t>
      </w:r>
      <w:r w:rsidR="002D6E11" w:rsidRPr="002D6E11">
        <w:rPr>
          <w:rFonts w:ascii="Albertus Extra Bold" w:hAnsi="Albertus Extra Bold"/>
          <w:spacing w:val="0"/>
        </w:rPr>
        <w:t>]</w:t>
      </w:r>
      <w:r w:rsidR="002D6E11" w:rsidRPr="002D6E11">
        <w:rPr>
          <w:spacing w:val="0"/>
        </w:rPr>
        <w:t xml:space="preserve"> </w:t>
      </w:r>
      <w:r w:rsidR="002D6E11" w:rsidRPr="002D6E11">
        <w:rPr>
          <w:spacing w:val="0"/>
          <w:u w:val="single"/>
        </w:rPr>
        <w:t>an offense or other violation of law, except for murder pursuant to N.J.S.2C:11-3, manslaughter or aggravated manslaughter pursuant to N.J.S.2C:11-4, kidnapping pursuant to N.J.S.2C:13-1, luring or enticing a child pursuant to N.J.S.2C:13-6, and sexual assault pursuant to</w:t>
      </w:r>
      <w:r w:rsidR="002D6E11" w:rsidRPr="002D6E11">
        <w:rPr>
          <w:spacing w:val="0"/>
        </w:rPr>
        <w:t xml:space="preserve"> </w:t>
      </w:r>
      <w:r w:rsidR="002D6E11" w:rsidRPr="002D6E11">
        <w:rPr>
          <w:rFonts w:ascii="Albertus Extra Bold" w:hAnsi="Albertus Extra Bold"/>
          <w:b/>
          <w:spacing w:val="0"/>
          <w:vertAlign w:val="superscript"/>
        </w:rPr>
        <w:t>1</w:t>
      </w:r>
      <w:r w:rsidR="002D6E11" w:rsidRPr="002D6E11">
        <w:rPr>
          <w:rFonts w:ascii="Albertus Extra Bold" w:hAnsi="Albertus Extra Bold"/>
          <w:b/>
          <w:spacing w:val="0"/>
        </w:rPr>
        <w:t>[</w:t>
      </w:r>
      <w:r w:rsidR="002D6E11" w:rsidRPr="002D6E11">
        <w:rPr>
          <w:spacing w:val="0"/>
          <w:u w:val="single"/>
        </w:rPr>
        <w:t>N.J.S.2C14-2</w:t>
      </w:r>
      <w:r w:rsidR="002D6E11" w:rsidRPr="002D6E11">
        <w:rPr>
          <w:rFonts w:ascii="Albertus Extra Bold" w:hAnsi="Albertus Extra Bold"/>
          <w:b/>
          <w:spacing w:val="0"/>
        </w:rPr>
        <w:t>]</w:t>
      </w:r>
      <w:r w:rsidR="002D6E11" w:rsidRPr="002D6E11">
        <w:rPr>
          <w:spacing w:val="0"/>
        </w:rPr>
        <w:t xml:space="preserve"> </w:t>
      </w:r>
      <w:r w:rsidR="002D6E11" w:rsidRPr="002D6E11">
        <w:rPr>
          <w:spacing w:val="0"/>
          <w:u w:val="single"/>
        </w:rPr>
        <w:t>N.J.S.2C:14-2,</w:t>
      </w:r>
      <w:r w:rsidR="002D6E11" w:rsidRPr="002D6E11">
        <w:rPr>
          <w:rFonts w:ascii="Albertus Extra Bold" w:hAnsi="Albertus Extra Bold"/>
          <w:b/>
          <w:spacing w:val="0"/>
          <w:vertAlign w:val="superscript"/>
        </w:rPr>
        <w:t>1</w:t>
      </w:r>
      <w:r w:rsidR="002D6E11" w:rsidRPr="002D6E11">
        <w:rPr>
          <w:spacing w:val="0"/>
          <w:u w:val="single"/>
        </w:rPr>
        <w:t xml:space="preserve">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002D6E11" w:rsidRPr="002D6E11">
        <w:rPr>
          <w:spacing w:val="0"/>
        </w:rPr>
        <w:t xml:space="preserve"> may file an application with the Superior Court in accordance with the Rules of Court to have </w:t>
      </w:r>
      <w:r w:rsidR="002D6E11" w:rsidRPr="002D6E11">
        <w:rPr>
          <w:rFonts w:ascii="Albertus Extra Bold" w:hAnsi="Albertus Extra Bold"/>
          <w:spacing w:val="0"/>
        </w:rPr>
        <w:t>[</w:t>
      </w:r>
      <w:r w:rsidR="002D6E11" w:rsidRPr="002D6E11">
        <w:rPr>
          <w:spacing w:val="0"/>
        </w:rPr>
        <w:t>the</w:t>
      </w:r>
      <w:r w:rsidR="002D6E11" w:rsidRPr="002D6E11">
        <w:rPr>
          <w:rFonts w:ascii="Albertus Extra Bold" w:hAnsi="Albertus Extra Bold"/>
          <w:spacing w:val="0"/>
        </w:rPr>
        <w:t>]</w:t>
      </w:r>
      <w:r w:rsidR="002D6E11" w:rsidRPr="002D6E11">
        <w:rPr>
          <w:spacing w:val="0"/>
        </w:rPr>
        <w:t xml:space="preserve"> </w:t>
      </w:r>
      <w:r w:rsidR="002D6E11" w:rsidRPr="002D6E11">
        <w:rPr>
          <w:spacing w:val="0"/>
          <w:u w:val="single"/>
        </w:rPr>
        <w:t>each</w:t>
      </w:r>
      <w:r w:rsidR="002D6E11" w:rsidRPr="002D6E11">
        <w:rPr>
          <w:spacing w:val="0"/>
        </w:rPr>
        <w:t xml:space="preserve"> conviction</w:t>
      </w:r>
      <w:r w:rsidR="002D6E11" w:rsidRPr="002D6E11">
        <w:rPr>
          <w:spacing w:val="0"/>
          <w:u w:val="single"/>
        </w:rPr>
        <w:t>, finding of guilt, or, in the case of an offense committed while a juvenile, adjudication of delinquency</w:t>
      </w:r>
      <w:r w:rsidR="002D6E11" w:rsidRPr="002D6E11">
        <w:rPr>
          <w:spacing w:val="0"/>
        </w:rPr>
        <w:t xml:space="preserve"> vacated at any time following entry of a judgment of conviction, </w:t>
      </w:r>
      <w:r w:rsidR="002D6E11" w:rsidRPr="002D6E11">
        <w:rPr>
          <w:rFonts w:ascii="Albertus Extra Bold" w:hAnsi="Albertus Extra Bold"/>
          <w:spacing w:val="0"/>
        </w:rPr>
        <w:t>[</w:t>
      </w:r>
      <w:r w:rsidR="002D6E11" w:rsidRPr="002D6E11">
        <w:rPr>
          <w:spacing w:val="0"/>
        </w:rPr>
        <w:t>when the person's participation in the offense was a result of having been a victim of human trafficking pursuant to section 1 of P.L.2005, c.77 (C.2C:13-8) or as defined in paragraph (14) of 22 U.S.C. s.7102</w:t>
      </w:r>
      <w:r w:rsidR="002D6E11" w:rsidRPr="002D6E11">
        <w:rPr>
          <w:rFonts w:ascii="Albertus Extra Bold" w:hAnsi="Albertus Extra Bold"/>
          <w:b/>
          <w:spacing w:val="0"/>
        </w:rPr>
        <w:t>]</w:t>
      </w:r>
      <w:r w:rsidR="002D6E11" w:rsidRPr="002D6E11">
        <w:rPr>
          <w:spacing w:val="0"/>
        </w:rPr>
        <w:t xml:space="preserve"> </w:t>
      </w:r>
      <w:r w:rsidR="002D6E11" w:rsidRPr="002D6E11">
        <w:rPr>
          <w:spacing w:val="0"/>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002D6E11" w:rsidRPr="002D6E11">
        <w:rPr>
          <w:spacing w:val="0"/>
        </w:rPr>
        <w:t>.</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lastRenderedPageBreak/>
        <w:tab/>
        <w:t>(2)</w:t>
      </w:r>
      <w:r w:rsidRPr="002D6E11">
        <w:rPr>
          <w:spacing w:val="0"/>
        </w:rPr>
        <w:tab/>
      </w:r>
      <w:r w:rsidRPr="002D6E11">
        <w:rPr>
          <w:rFonts w:ascii="Albertus Extra Bold" w:hAnsi="Albertus Extra Bold"/>
          <w:spacing w:val="0"/>
        </w:rPr>
        <w:t>[</w:t>
      </w:r>
      <w:r w:rsidRPr="002D6E11">
        <w:rPr>
          <w:spacing w:val="0"/>
        </w:rPr>
        <w:t>Notwithstanding any law to the contrary,</w:t>
      </w:r>
      <w:r w:rsidRPr="002D6E11">
        <w:rPr>
          <w:rFonts w:ascii="Albertus Extra Bold" w:hAnsi="Albertus Extra Bold"/>
          <w:spacing w:val="0"/>
        </w:rPr>
        <w:t>]</w:t>
      </w:r>
      <w:r w:rsidRPr="002D6E11">
        <w:rPr>
          <w:spacing w:val="0"/>
        </w:rPr>
        <w:t xml:space="preserve"> </w:t>
      </w:r>
      <w:r w:rsidRPr="002D6E11">
        <w:rPr>
          <w:spacing w:val="0"/>
          <w:u w:val="single"/>
        </w:rPr>
        <w:t>In the same application filed pursuant to paragraph (1) of this subsection,</w:t>
      </w:r>
      <w:r w:rsidRPr="002D6E11">
        <w:rPr>
          <w:spacing w:val="0"/>
        </w:rPr>
        <w:t xml:space="preserve"> the person may also </w:t>
      </w:r>
      <w:r w:rsidRPr="002D6E11">
        <w:rPr>
          <w:rFonts w:ascii="Albertus Extra Bold" w:hAnsi="Albertus Extra Bold"/>
          <w:spacing w:val="0"/>
        </w:rPr>
        <w:t>[</w:t>
      </w:r>
      <w:r w:rsidRPr="002D6E11">
        <w:rPr>
          <w:spacing w:val="0"/>
        </w:rPr>
        <w:t>in the same application</w:t>
      </w:r>
      <w:r w:rsidRPr="002D6E11">
        <w:rPr>
          <w:rFonts w:ascii="Albertus Extra Bold" w:hAnsi="Albertus Extra Bold"/>
          <w:spacing w:val="0"/>
        </w:rPr>
        <w:t>]</w:t>
      </w:r>
      <w:r w:rsidRPr="002D6E11">
        <w:rPr>
          <w:spacing w:val="0"/>
        </w:rPr>
        <w:t xml:space="preserve"> seek an order for the expungement of any reference to the person's arrest, </w:t>
      </w:r>
      <w:r w:rsidRPr="002D6E11">
        <w:rPr>
          <w:spacing w:val="0"/>
          <w:u w:val="single"/>
        </w:rPr>
        <w:t>charge, complaint,</w:t>
      </w:r>
      <w:r w:rsidRPr="002D6E11">
        <w:rPr>
          <w:spacing w:val="0"/>
        </w:rPr>
        <w:t xml:space="preserve"> conviction</w:t>
      </w:r>
      <w:r w:rsidRPr="002D6E11">
        <w:rPr>
          <w:spacing w:val="0"/>
          <w:u w:val="single"/>
        </w:rPr>
        <w:t>, adjudication of delinquency, or other disposition</w:t>
      </w:r>
      <w:r w:rsidRPr="002D6E11">
        <w:rPr>
          <w:spacing w:val="0"/>
        </w:rPr>
        <w:t xml:space="preserve">, and any proceeding </w:t>
      </w:r>
      <w:r w:rsidRPr="002D6E11">
        <w:rPr>
          <w:rFonts w:ascii="Albertus Extra Bold" w:hAnsi="Albertus Extra Bold"/>
          <w:spacing w:val="0"/>
        </w:rPr>
        <w:t>[</w:t>
      </w:r>
      <w:r w:rsidRPr="002D6E11">
        <w:rPr>
          <w:spacing w:val="0"/>
        </w:rPr>
        <w:t>for prostitution</w:t>
      </w:r>
      <w:r w:rsidRPr="002D6E11">
        <w:rPr>
          <w:rFonts w:ascii="Albertus Extra Bold" w:hAnsi="Albertus Extra Bold"/>
          <w:spacing w:val="0"/>
        </w:rPr>
        <w:t>]</w:t>
      </w:r>
      <w:r w:rsidRPr="002D6E11">
        <w:rPr>
          <w:spacing w:val="0"/>
        </w:rPr>
        <w:t xml:space="preserve"> </w:t>
      </w:r>
      <w:r w:rsidRPr="002D6E11">
        <w:rPr>
          <w:spacing w:val="0"/>
          <w:u w:val="single"/>
        </w:rPr>
        <w:t>related thereto</w:t>
      </w:r>
      <w:r w:rsidRPr="002D6E11">
        <w:rPr>
          <w:spacing w:val="0"/>
        </w:rPr>
        <w:t xml:space="preserve"> in any records in the custody of a court, or law enforcement or correctional agency entitled to be served with the application pursuant to subsection b. of this section</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 as well as</w:t>
      </w:r>
      <w:r w:rsidRPr="002D6E11">
        <w:rPr>
          <w:rFonts w:ascii="Albertus Extra Bold" w:hAnsi="Albertus Extra Bold"/>
          <w:b/>
          <w:spacing w:val="0"/>
        </w:rPr>
        <w:t>]</w:t>
      </w:r>
      <w:r w:rsidRPr="002D6E11">
        <w:rPr>
          <w:spacing w:val="0"/>
        </w:rPr>
        <w:t xml:space="preserve"> </w:t>
      </w:r>
      <w:r w:rsidRPr="002D6E11">
        <w:rPr>
          <w:spacing w:val="0"/>
          <w:u w:val="single"/>
        </w:rPr>
        <w:t>. The person may also seek, in a separate application which shall be considered in conjunction with an application filed pursuant to paragraph (1) of this subsection,</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an order for the expungement of the person’s DNA record and other identifiable information from the State DNA Database in accordance with section 9 of P.L.1994, c.136 (C.53:1-20.25)</w:t>
      </w:r>
      <w:r w:rsidRPr="002D6E11">
        <w:rPr>
          <w:spacing w:val="0"/>
        </w:rPr>
        <w:t>.</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b.</w:t>
      </w:r>
      <w:r w:rsidRPr="002D6E11">
        <w:rPr>
          <w:spacing w:val="0"/>
        </w:rPr>
        <w:tab/>
        <w:t xml:space="preserve">(1)  </w:t>
      </w:r>
      <w:r w:rsidRPr="002D6E11">
        <w:rPr>
          <w:spacing w:val="0"/>
          <w:u w:val="single"/>
        </w:rPr>
        <w:t>(a)</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rPr>
        <w:t>An application</w:t>
      </w:r>
      <w:r w:rsidRPr="002D6E11">
        <w:rPr>
          <w:rFonts w:ascii="Albertus Extra Bold" w:hAnsi="Albertus Extra Bold"/>
          <w:b/>
          <w:spacing w:val="0"/>
        </w:rPr>
        <w:t>]</w:t>
      </w:r>
      <w:r w:rsidRPr="002D6E11">
        <w:rPr>
          <w:spacing w:val="0"/>
        </w:rPr>
        <w:t xml:space="preserve"> </w:t>
      </w:r>
      <w:r w:rsidRPr="002D6E11">
        <w:rPr>
          <w:spacing w:val="0"/>
          <w:u w:val="single"/>
        </w:rPr>
        <w:t>Applications</w:t>
      </w:r>
      <w:r w:rsidRPr="002D6E11">
        <w:rPr>
          <w:rFonts w:ascii="Albertus Extra Bold" w:hAnsi="Albertus Extra Bold"/>
          <w:b/>
          <w:spacing w:val="0"/>
          <w:vertAlign w:val="superscript"/>
        </w:rPr>
        <w:t>1</w:t>
      </w:r>
      <w:r w:rsidRPr="002D6E11">
        <w:rPr>
          <w:spacing w:val="0"/>
        </w:rPr>
        <w:t xml:space="preserve"> made </w:t>
      </w:r>
      <w:r w:rsidRPr="002D6E11">
        <w:rPr>
          <w:spacing w:val="0"/>
          <w:u w:val="single"/>
        </w:rPr>
        <w:t>to the Superior Court</w:t>
      </w:r>
      <w:r w:rsidRPr="002D6E11">
        <w:rPr>
          <w:spacing w:val="0"/>
        </w:rPr>
        <w:t xml:space="preserve"> under this section </w:t>
      </w:r>
      <w:r w:rsidRPr="002D6E11">
        <w:rPr>
          <w:spacing w:val="0"/>
          <w:u w:val="single"/>
        </w:rPr>
        <w:t>and all associated supporting documents filed with the</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application</w:t>
      </w:r>
      <w:r w:rsidRPr="002D6E11">
        <w:rPr>
          <w:rFonts w:ascii="Albertus Extra Bold" w:hAnsi="Albertus Extra Bold"/>
          <w:b/>
          <w:spacing w:val="0"/>
        </w:rPr>
        <w:t>]</w:t>
      </w:r>
      <w:r w:rsidRPr="002D6E11">
        <w:rPr>
          <w:spacing w:val="0"/>
        </w:rPr>
        <w:t xml:space="preserve"> </w:t>
      </w:r>
      <w:r w:rsidRPr="002D6E11">
        <w:rPr>
          <w:spacing w:val="0"/>
          <w:u w:val="single"/>
        </w:rPr>
        <w:t>applications</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shall remain under seal and kept confidential, and shall not be disseminated or disclosed, in whole or in part, except to another court, or a law enforcement or correctional agency as set forth in this subparagraph.  The application</w:t>
      </w:r>
      <w:r w:rsidRPr="002D6E11">
        <w:rPr>
          <w:spacing w:val="0"/>
        </w:rPr>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Pr="002D6E11">
        <w:rPr>
          <w:rFonts w:ascii="Albertus Extra Bold" w:hAnsi="Albertus Extra Bold"/>
          <w:spacing w:val="0"/>
        </w:rPr>
        <w:t>[</w:t>
      </w:r>
      <w:r w:rsidRPr="002D6E11">
        <w:rPr>
          <w:spacing w:val="0"/>
        </w:rPr>
        <w:t>the</w:t>
      </w:r>
      <w:r w:rsidRPr="002D6E11">
        <w:rPr>
          <w:rFonts w:ascii="Albertus Extra Bold" w:hAnsi="Albertus Extra Bold"/>
          <w:spacing w:val="0"/>
        </w:rPr>
        <w:t>]</w:t>
      </w:r>
      <w:r w:rsidRPr="002D6E11">
        <w:rPr>
          <w:spacing w:val="0"/>
        </w:rPr>
        <w:t xml:space="preserve"> </w:t>
      </w:r>
      <w:r w:rsidRPr="002D6E11">
        <w:rPr>
          <w:spacing w:val="0"/>
          <w:u w:val="single"/>
        </w:rPr>
        <w:t>each</w:t>
      </w:r>
      <w:r w:rsidRPr="002D6E11">
        <w:rPr>
          <w:spacing w:val="0"/>
        </w:rPr>
        <w:t xml:space="preserve"> offense </w:t>
      </w:r>
      <w:r w:rsidRPr="002D6E11">
        <w:rPr>
          <w:spacing w:val="0"/>
          <w:u w:val="single"/>
        </w:rPr>
        <w:t>or other violation of law</w:t>
      </w:r>
      <w:r w:rsidRPr="002D6E11">
        <w:rPr>
          <w:spacing w:val="0"/>
        </w:rPr>
        <w:t xml:space="preserve"> was committed </w:t>
      </w:r>
      <w:r w:rsidRPr="002D6E11">
        <w:rPr>
          <w:spacing w:val="0"/>
          <w:u w:val="single"/>
        </w:rPr>
        <w:t>or alleged to have been committed</w:t>
      </w:r>
      <w:r w:rsidRPr="002D6E11">
        <w:rPr>
          <w:spacing w:val="0"/>
        </w:rPr>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Pr="002D6E11">
        <w:rPr>
          <w:rFonts w:ascii="Albertus Extra Bold" w:hAnsi="Albertus Extra Bold"/>
          <w:spacing w:val="0"/>
        </w:rPr>
        <w:t>[</w:t>
      </w:r>
      <w:r w:rsidRPr="002D6E11">
        <w:rPr>
          <w:spacing w:val="0"/>
        </w:rPr>
        <w:t>Any of the noticed parties herein may make an appearance or file a submission responding to the person's application.</w:t>
      </w:r>
      <w:r w:rsidRPr="002D6E11">
        <w:rPr>
          <w:rFonts w:ascii="Albertus Extra Bold" w:hAnsi="Albertus Extra Bold"/>
          <w:spacing w:val="0"/>
        </w:rPr>
        <w:t>]</w:t>
      </w:r>
      <w:r w:rsidRPr="002D6E11">
        <w:rPr>
          <w:spacing w:val="0"/>
        </w:rPr>
        <w:t xml:space="preserve">  </w:t>
      </w:r>
      <w:r w:rsidRPr="002D6E11">
        <w:rPr>
          <w:spacing w:val="0"/>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rsidRPr="002D6E11">
        <w:rPr>
          <w:spacing w:val="0"/>
        </w:rPr>
        <w:t xml:space="preserve">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(b)</w:t>
      </w:r>
      <w:r w:rsidRPr="002D6E11">
        <w:rPr>
          <w:spacing w:val="0"/>
          <w:u w:val="single"/>
        </w:rPr>
        <w:tab/>
        <w:t>Unless a party given notice pursuant to subparagraph (a) of this paragraph files an objection to the application and requests a hearing within</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45</w:t>
      </w:r>
      <w:r w:rsidRPr="002D6E11">
        <w:rPr>
          <w:rFonts w:ascii="Albertus Extra Bold" w:hAnsi="Albertus Extra Bold"/>
          <w:b/>
          <w:spacing w:val="0"/>
        </w:rPr>
        <w:t>]</w:t>
      </w:r>
      <w:r w:rsidRPr="002D6E11">
        <w:rPr>
          <w:spacing w:val="0"/>
        </w:rPr>
        <w:t xml:space="preserve"> </w:t>
      </w:r>
      <w:r w:rsidRPr="002D6E11">
        <w:rPr>
          <w:spacing w:val="0"/>
          <w:u w:val="single"/>
        </w:rPr>
        <w:t>60</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 xml:space="preserve">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(c)  When one or more of the convictions sought to be vacated is for a crime of the first or second degree, any victims of these crimes shall be given an opportunity to submit a written statement about the impact of the crime to the court.  It shall be the responsibility of the county prosecutor given notice of the application pursuant to subparagraph (a) of this paragraph to make a good faith effort to notify any victim.  The prosecutor’s office shall have the discretion to waive victim notification in instances when the victim was the trafficker or the notification could endanger the petitioner.</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t>(2)</w:t>
      </w:r>
      <w:r w:rsidRPr="002D6E11">
        <w:rPr>
          <w:spacing w:val="0"/>
        </w:rPr>
        <w:tab/>
      </w:r>
      <w:r w:rsidRPr="002D6E11">
        <w:rPr>
          <w:rFonts w:ascii="Albertus Extra Bold" w:hAnsi="Albertus Extra Bold"/>
          <w:spacing w:val="0"/>
        </w:rPr>
        <w:t>[</w:t>
      </w:r>
      <w:r w:rsidRPr="002D6E11">
        <w:rPr>
          <w:spacing w:val="0"/>
        </w:rPr>
        <w:t>The application shall be made and heard within a reasonable time after</w:t>
      </w:r>
      <w:r w:rsidRPr="002D6E11">
        <w:rPr>
          <w:rFonts w:ascii="Albertus Extra Bold" w:hAnsi="Albertus Extra Bold"/>
          <w:spacing w:val="0"/>
        </w:rPr>
        <w:t>]</w:t>
      </w:r>
      <w:r w:rsidRPr="002D6E11">
        <w:rPr>
          <w:spacing w:val="0"/>
        </w:rPr>
        <w:t xml:space="preserve"> </w:t>
      </w:r>
      <w:r w:rsidRPr="002D6E11">
        <w:rPr>
          <w:spacing w:val="0"/>
          <w:u w:val="single"/>
        </w:rPr>
        <w:t>With respect to any court appearance by</w:t>
      </w:r>
      <w:r w:rsidRPr="002D6E11">
        <w:rPr>
          <w:spacing w:val="0"/>
        </w:rPr>
        <w:t xml:space="preserve"> the person </w:t>
      </w:r>
      <w:r w:rsidRPr="002D6E11">
        <w:rPr>
          <w:rFonts w:ascii="Albertus Extra Bold" w:hAnsi="Albertus Extra Bold"/>
          <w:spacing w:val="0"/>
        </w:rPr>
        <w:t>[</w:t>
      </w:r>
      <w:r w:rsidRPr="002D6E11">
        <w:rPr>
          <w:spacing w:val="0"/>
        </w:rPr>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Pr="002D6E11">
        <w:rPr>
          <w:rFonts w:ascii="Albertus Extra Bold" w:hAnsi="Albertus Extra Bold"/>
          <w:spacing w:val="0"/>
        </w:rPr>
        <w:t>]</w:t>
      </w:r>
      <w:r w:rsidRPr="002D6E11">
        <w:rPr>
          <w:spacing w:val="0"/>
        </w:rPr>
        <w:t xml:space="preserve"> </w:t>
      </w:r>
      <w:r w:rsidRPr="002D6E11">
        <w:rPr>
          <w:spacing w:val="0"/>
          <w:u w:val="single"/>
        </w:rPr>
        <w:t>concerning</w:t>
      </w:r>
      <w:r w:rsidRPr="002D6E11">
        <w:rPr>
          <w:spacing w:val="0"/>
        </w:rPr>
        <w:t xml:space="preserve"> the application, </w:t>
      </w:r>
      <w:r w:rsidRPr="002D6E11">
        <w:rPr>
          <w:rFonts w:ascii="Albertus Extra Bold" w:hAnsi="Albertus Extra Bold"/>
          <w:spacing w:val="0"/>
        </w:rPr>
        <w:t>[</w:t>
      </w:r>
      <w:r w:rsidRPr="002D6E11">
        <w:rPr>
          <w:spacing w:val="0"/>
        </w:rPr>
        <w:t>or for other reasons consistent with the purposes of this paragraph</w:t>
      </w:r>
      <w:r w:rsidRPr="002D6E11">
        <w:rPr>
          <w:rFonts w:ascii="Albertus Extra Bold" w:hAnsi="Albertus Extra Bold"/>
          <w:spacing w:val="0"/>
        </w:rPr>
        <w:t>]</w:t>
      </w:r>
      <w:r w:rsidRPr="002D6E11">
        <w:rPr>
          <w:spacing w:val="0"/>
        </w:rPr>
        <w:t xml:space="preserve"> </w:t>
      </w:r>
      <w:r w:rsidRPr="002D6E11">
        <w:rPr>
          <w:spacing w:val="0"/>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w:t>
      </w:r>
      <w:r w:rsidRPr="002D6E11">
        <w:rPr>
          <w:rFonts w:ascii="Albertus Extra Bold" w:hAnsi="Albertus Extra Bold"/>
          <w:b/>
          <w:spacing w:val="0"/>
        </w:rPr>
        <w:t>]</w:t>
      </w:r>
      <w:r w:rsidRPr="002D6E11">
        <w:rPr>
          <w:spacing w:val="0"/>
        </w:rPr>
        <w:t>.</w:t>
      </w:r>
      <w:r w:rsidRPr="002D6E11">
        <w:rPr>
          <w:rFonts w:ascii="Albertus Extra Bold" w:hAnsi="Albertus Extra Bold"/>
          <w:b/>
          <w:spacing w:val="0"/>
          <w:vertAlign w:val="superscript"/>
        </w:rPr>
        <w:t>1</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c.</w:t>
      </w:r>
      <w:r w:rsidRPr="002D6E11">
        <w:rPr>
          <w:spacing w:val="0"/>
        </w:rPr>
        <w:tab/>
        <w:t xml:space="preserve">(1)  The court may vacate </w:t>
      </w:r>
      <w:r w:rsidRPr="002D6E11">
        <w:rPr>
          <w:rFonts w:ascii="Albertus Extra Bold" w:hAnsi="Albertus Extra Bold"/>
          <w:spacing w:val="0"/>
        </w:rPr>
        <w:t>[</w:t>
      </w:r>
      <w:r w:rsidRPr="002D6E11">
        <w:rPr>
          <w:spacing w:val="0"/>
        </w:rPr>
        <w:t>a</w:t>
      </w:r>
      <w:r w:rsidRPr="002D6E11">
        <w:rPr>
          <w:rFonts w:ascii="Albertus Extra Bold" w:hAnsi="Albertus Extra Bold"/>
          <w:spacing w:val="0"/>
        </w:rPr>
        <w:t>]</w:t>
      </w:r>
      <w:r w:rsidRPr="002D6E11">
        <w:rPr>
          <w:spacing w:val="0"/>
        </w:rPr>
        <w:t xml:space="preserve"> </w:t>
      </w:r>
      <w:r w:rsidRPr="002D6E11">
        <w:rPr>
          <w:spacing w:val="0"/>
          <w:u w:val="single"/>
        </w:rPr>
        <w:t>any</w:t>
      </w:r>
      <w:r w:rsidRPr="002D6E11">
        <w:rPr>
          <w:spacing w:val="0"/>
        </w:rPr>
        <w:t xml:space="preserve"> conviction</w:t>
      </w:r>
      <w:r w:rsidRPr="002D6E11">
        <w:rPr>
          <w:spacing w:val="0"/>
          <w:u w:val="single"/>
        </w:rPr>
        <w:t>, finding of guilt, or adjudication of delinquency</w:t>
      </w:r>
      <w:r w:rsidRPr="002D6E11">
        <w:rPr>
          <w:spacing w:val="0"/>
        </w:rPr>
        <w:t xml:space="preserve"> pursuant to this section if it finds by a preponderance of the evidence that the person was a victim of human trafficking </w:t>
      </w:r>
      <w:r w:rsidRPr="002D6E11">
        <w:rPr>
          <w:rFonts w:ascii="Albertus Extra Bold" w:hAnsi="Albertus Extra Bold"/>
          <w:spacing w:val="0"/>
        </w:rPr>
        <w:t>[</w:t>
      </w:r>
      <w:r w:rsidRPr="002D6E11">
        <w:rPr>
          <w:spacing w:val="0"/>
        </w:rPr>
        <w:t>pursuant to</w:t>
      </w:r>
      <w:r w:rsidRPr="002D6E11">
        <w:rPr>
          <w:rFonts w:ascii="Albertus Extra Bold" w:hAnsi="Albertus Extra Bold"/>
          <w:spacing w:val="0"/>
        </w:rPr>
        <w:t>]</w:t>
      </w:r>
      <w:r w:rsidRPr="002D6E11">
        <w:rPr>
          <w:spacing w:val="0"/>
        </w:rPr>
        <w:t xml:space="preserve"> </w:t>
      </w:r>
      <w:r w:rsidRPr="002D6E11">
        <w:rPr>
          <w:spacing w:val="0"/>
          <w:u w:val="single"/>
        </w:rPr>
        <w:t>as described in</w:t>
      </w:r>
      <w:r w:rsidRPr="002D6E11">
        <w:rPr>
          <w:spacing w:val="0"/>
        </w:rPr>
        <w:t xml:space="preserve"> section 1 of P.L.2005, c.77 (C.2C:13-8) or </w:t>
      </w:r>
      <w:r w:rsidRPr="002D6E11">
        <w:rPr>
          <w:rFonts w:ascii="Albertus Extra Bold" w:hAnsi="Albertus Extra Bold"/>
          <w:spacing w:val="0"/>
        </w:rPr>
        <w:t>[</w:t>
      </w:r>
      <w:r w:rsidRPr="002D6E11">
        <w:rPr>
          <w:spacing w:val="0"/>
        </w:rPr>
        <w:t>as defined in paragraph (14) of</w:t>
      </w:r>
      <w:r w:rsidRPr="002D6E11">
        <w:rPr>
          <w:rFonts w:ascii="Albertus Extra Bold" w:hAnsi="Albertus Extra Bold"/>
          <w:spacing w:val="0"/>
        </w:rPr>
        <w:t>]</w:t>
      </w:r>
      <w:r w:rsidRPr="002D6E11">
        <w:rPr>
          <w:spacing w:val="0"/>
        </w:rPr>
        <w:t xml:space="preserve"> 22 U.S.C. s.7102 </w:t>
      </w:r>
      <w:r w:rsidRPr="002D6E11">
        <w:rPr>
          <w:rFonts w:ascii="Albertus Extra Bold" w:hAnsi="Albertus Extra Bold"/>
          <w:spacing w:val="0"/>
        </w:rPr>
        <w:t>[</w:t>
      </w:r>
      <w:r w:rsidRPr="002D6E11">
        <w:rPr>
          <w:spacing w:val="0"/>
        </w:rPr>
        <w:t>at the time of the offense</w:t>
      </w:r>
      <w:r w:rsidRPr="002D6E11">
        <w:rPr>
          <w:rFonts w:ascii="Albertus Extra Bold" w:hAnsi="Albertus Extra Bold"/>
          <w:spacing w:val="0"/>
        </w:rPr>
        <w:t>]</w:t>
      </w:r>
      <w:r w:rsidRPr="002D6E11">
        <w:rPr>
          <w:spacing w:val="0"/>
        </w:rPr>
        <w:t xml:space="preserve">, and that the </w:t>
      </w:r>
      <w:r w:rsidRPr="002D6E11">
        <w:rPr>
          <w:spacing w:val="0"/>
          <w:u w:val="single"/>
        </w:rPr>
        <w:t>offense or other</w:t>
      </w:r>
      <w:r w:rsidRPr="002D6E11">
        <w:rPr>
          <w:spacing w:val="0"/>
        </w:rPr>
        <w:t xml:space="preserve"> violation </w:t>
      </w:r>
      <w:r w:rsidRPr="002D6E11">
        <w:rPr>
          <w:spacing w:val="0"/>
          <w:u w:val="single"/>
        </w:rPr>
        <w:t>of law to be vacated</w:t>
      </w:r>
      <w:r w:rsidRPr="002D6E11">
        <w:rPr>
          <w:spacing w:val="0"/>
        </w:rPr>
        <w:t xml:space="preserve"> was a result of the person having been a victim of human trafficking.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(2)</w:t>
      </w:r>
      <w:r w:rsidRPr="002D6E11">
        <w:rPr>
          <w:spacing w:val="0"/>
        </w:rPr>
        <w:tab/>
        <w:t>In making a determination:</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(a)</w:t>
      </w:r>
      <w:r w:rsidRPr="002D6E11">
        <w:rPr>
          <w:spacing w:val="0"/>
        </w:rPr>
        <w:tab/>
        <w:t xml:space="preserve">evidence documenting the person's status as a victim of human trafficking </w:t>
      </w:r>
      <w:r w:rsidRPr="002D6E11">
        <w:rPr>
          <w:rFonts w:ascii="Albertus Extra Bold" w:hAnsi="Albertus Extra Bold"/>
          <w:spacing w:val="0"/>
        </w:rPr>
        <w:t>[</w:t>
      </w:r>
      <w:r w:rsidRPr="002D6E11">
        <w:rPr>
          <w:spacing w:val="0"/>
        </w:rPr>
        <w:t>at the time of the offense</w:t>
      </w:r>
      <w:r w:rsidRPr="002D6E11">
        <w:rPr>
          <w:rFonts w:ascii="Albertus Extra Bold" w:hAnsi="Albertus Extra Bold"/>
          <w:spacing w:val="0"/>
        </w:rPr>
        <w:t>]</w:t>
      </w:r>
      <w:r w:rsidRPr="002D6E11">
        <w:rPr>
          <w:spacing w:val="0"/>
        </w:rPr>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(b)</w:t>
      </w:r>
      <w:r w:rsidRPr="002D6E11">
        <w:rPr>
          <w:spacing w:val="0"/>
        </w:rPr>
        <w:tab/>
        <w:t>the court may additionally consider other evidence it deems appropriate in determining whether the person was a victim of human trafficking, including, but not limited to:</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w:t>
      </w:r>
      <w:proofErr w:type="spellStart"/>
      <w:r w:rsidRPr="002D6E11">
        <w:rPr>
          <w:spacing w:val="0"/>
        </w:rPr>
        <w:t>i</w:t>
      </w:r>
      <w:proofErr w:type="spellEnd"/>
      <w:r w:rsidRPr="002D6E11">
        <w:rPr>
          <w:spacing w:val="0"/>
        </w:rPr>
        <w:t>)</w:t>
      </w:r>
      <w:r w:rsidRPr="002D6E11">
        <w:rPr>
          <w:spacing w:val="0"/>
        </w:rPr>
        <w:tab/>
        <w:t>certified records of federal or State court proceedings which demonstrate that the defendant was a victim of a trafficker charged with a human trafficking offense under section 1 of P.L.2005, c.77 (C.2C:13-8) or chapter 77 of Title 18 of the United States Code;</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(ii)</w:t>
      </w:r>
      <w:r w:rsidRPr="002D6E11">
        <w:rPr>
          <w:spacing w:val="0"/>
        </w:rPr>
        <w:tab/>
        <w:t>certified records of approval notices or law enforcement certifications generated from a federal immigration proceeding available to victims of human trafficking; and</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(iii)  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d.</w:t>
      </w:r>
      <w:r w:rsidRPr="002D6E11">
        <w:rPr>
          <w:spacing w:val="0"/>
        </w:rPr>
        <w:tab/>
        <w:t>If the court finds, pursuant to subsection c. of this section, that the person was a victim of human trafficking, it shall enter an order vacating the</w:t>
      </w:r>
      <w:r w:rsidRPr="002D6E11">
        <w:rPr>
          <w:rFonts w:ascii="Albertus Extra Bold" w:hAnsi="Albertus Extra Bold"/>
          <w:spacing w:val="0"/>
        </w:rPr>
        <w:t xml:space="preserve"> </w:t>
      </w:r>
      <w:r w:rsidRPr="002D6E11">
        <w:rPr>
          <w:spacing w:val="0"/>
        </w:rPr>
        <w:t>conviction</w:t>
      </w:r>
      <w:r w:rsidRPr="002D6E11">
        <w:rPr>
          <w:spacing w:val="0"/>
          <w:u w:val="single"/>
        </w:rPr>
        <w:t>, finding of guilt, or adjudication of delinquency</w:t>
      </w:r>
      <w:r w:rsidRPr="009B10D9">
        <w:rPr>
          <w:spacing w:val="0"/>
        </w:rPr>
        <w:t xml:space="preserve"> </w:t>
      </w:r>
      <w:r w:rsidRPr="009B10D9">
        <w:rPr>
          <w:rFonts w:ascii="Albertus Extra Bold" w:hAnsi="Albertus Extra Bold"/>
          <w:b/>
          <w:vertAlign w:val="superscript"/>
        </w:rPr>
        <w:t>2</w:t>
      </w:r>
      <w:r w:rsidRPr="002D6E11">
        <w:rPr>
          <w:rFonts w:ascii="Albertus Extra Bold" w:hAnsi="Albertus Extra Bold"/>
          <w:b/>
        </w:rPr>
        <w:t>[</w:t>
      </w:r>
      <w:r w:rsidRPr="002D6E11">
        <w:rPr>
          <w:spacing w:val="0"/>
          <w:u w:val="single"/>
        </w:rPr>
        <w:t xml:space="preserve">, which indicates the disposition to be vacated due to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a substantive defect in the underlying proceedings that resulted in the disposition,</w:t>
      </w:r>
      <w:r w:rsidRPr="002D6E11">
        <w:rPr>
          <w:rFonts w:ascii="Albertus Extra Bold" w:hAnsi="Albertus Extra Bold"/>
          <w:b/>
          <w:spacing w:val="0"/>
        </w:rPr>
        <w:t>]</w:t>
      </w:r>
      <w:r w:rsidRPr="002D6E11">
        <w:rPr>
          <w:spacing w:val="0"/>
        </w:rPr>
        <w:t xml:space="preserve"> </w:t>
      </w:r>
      <w:r w:rsidRPr="002D6E11">
        <w:rPr>
          <w:spacing w:val="0"/>
          <w:u w:val="single"/>
        </w:rPr>
        <w:t>the determination that a factual or legal proposition has been established to negate the disposition,</w:t>
      </w:r>
      <w:r w:rsidRPr="002D6E11">
        <w:rPr>
          <w:rFonts w:ascii="Albertus Extra Bold" w:hAnsi="Albertus Extra Bold"/>
          <w:b/>
          <w:spacing w:val="0"/>
          <w:vertAlign w:val="superscript"/>
        </w:rPr>
        <w:t>1</w:t>
      </w:r>
      <w:r w:rsidRPr="002D6E11">
        <w:rPr>
          <w:rFonts w:ascii="Albertus Extra Bold" w:hAnsi="Albertus Extra Bold"/>
          <w:b/>
        </w:rPr>
        <w:t>]</w:t>
      </w:r>
      <w:r w:rsidRPr="002D6E11">
        <w:rPr>
          <w:rFonts w:ascii="Albertus Extra Bold" w:hAnsi="Albertus Extra Bold"/>
          <w:b/>
          <w:vertAlign w:val="superscript"/>
        </w:rPr>
        <w:t>2</w:t>
      </w:r>
      <w:r w:rsidRPr="002D6E11">
        <w:rPr>
          <w:spacing w:val="0"/>
        </w:rPr>
        <w:t xml:space="preserve"> and directing that all court records be revised accordingly.  When the person's application also seeks an order for expungement, the court order shall require that any court, law enforcement and</w:t>
      </w:r>
      <w:r w:rsidRPr="002D6E11">
        <w:rPr>
          <w:rFonts w:ascii="Albertus Extra Bold" w:hAnsi="Albertus Extra Bold"/>
          <w:spacing w:val="0"/>
        </w:rPr>
        <w:t xml:space="preserve"> </w:t>
      </w:r>
      <w:r w:rsidRPr="002D6E11">
        <w:rPr>
          <w:spacing w:val="0"/>
        </w:rPr>
        <w:t xml:space="preserve">correctional </w:t>
      </w:r>
      <w:r w:rsidRPr="002D6E11">
        <w:rPr>
          <w:rFonts w:ascii="Albertus Extra Bold" w:hAnsi="Albertus Extra Bold"/>
          <w:spacing w:val="0"/>
        </w:rPr>
        <w:t>[</w:t>
      </w:r>
      <w:r w:rsidRPr="002D6E11">
        <w:rPr>
          <w:spacing w:val="0"/>
        </w:rPr>
        <w:t>agencies, and other</w:t>
      </w:r>
      <w:r w:rsidRPr="002D6E11">
        <w:rPr>
          <w:rFonts w:ascii="Albertus Extra Bold" w:hAnsi="Albertus Extra Bold"/>
          <w:spacing w:val="0"/>
        </w:rPr>
        <w:t>]</w:t>
      </w:r>
      <w:r w:rsidRPr="002D6E11">
        <w:rPr>
          <w:spacing w:val="0"/>
        </w:rPr>
        <w:t xml:space="preserve"> </w:t>
      </w:r>
      <w:r w:rsidRPr="002D6E11">
        <w:rPr>
          <w:spacing w:val="0"/>
          <w:u w:val="single"/>
        </w:rPr>
        <w:t>agency</w:t>
      </w:r>
      <w:r w:rsidRPr="002D6E11">
        <w:rPr>
          <w:spacing w:val="0"/>
        </w:rPr>
        <w:t xml:space="preserve"> noticed </w:t>
      </w:r>
      <w:r w:rsidRPr="002D6E11">
        <w:rPr>
          <w:rFonts w:ascii="Albertus Extra Bold" w:hAnsi="Albertus Extra Bold"/>
          <w:spacing w:val="0"/>
        </w:rPr>
        <w:t>[</w:t>
      </w:r>
      <w:r w:rsidRPr="002D6E11">
        <w:rPr>
          <w:spacing w:val="0"/>
        </w:rPr>
        <w:t>parties</w:t>
      </w:r>
      <w:r w:rsidRPr="002D6E11">
        <w:rPr>
          <w:rFonts w:ascii="Albertus Extra Bold" w:hAnsi="Albertus Extra Bold"/>
          <w:spacing w:val="0"/>
        </w:rPr>
        <w:t xml:space="preserve">] </w:t>
      </w:r>
      <w:r w:rsidRPr="002D6E11">
        <w:rPr>
          <w:spacing w:val="0"/>
        </w:rPr>
        <w:t xml:space="preserve">pursuant to subsection b. of this section expunge all references to the person's arrest, </w:t>
      </w:r>
      <w:r w:rsidRPr="002D6E11">
        <w:rPr>
          <w:spacing w:val="0"/>
          <w:u w:val="single"/>
        </w:rPr>
        <w:t>charge, complaint,</w:t>
      </w:r>
      <w:r w:rsidRPr="002D6E11">
        <w:rPr>
          <w:spacing w:val="0"/>
        </w:rPr>
        <w:t xml:space="preserve"> conviction</w:t>
      </w:r>
      <w:r w:rsidRPr="002D6E11">
        <w:rPr>
          <w:spacing w:val="0"/>
          <w:u w:val="single"/>
        </w:rPr>
        <w:t>, adjudication of delinquency, or other disposition</w:t>
      </w:r>
      <w:r w:rsidRPr="002D6E11">
        <w:rPr>
          <w:spacing w:val="0"/>
        </w:rPr>
        <w:t xml:space="preserve">, and </w:t>
      </w:r>
      <w:r w:rsidRPr="002D6E11">
        <w:rPr>
          <w:spacing w:val="0"/>
          <w:u w:val="single"/>
        </w:rPr>
        <w:t>any</w:t>
      </w:r>
      <w:r w:rsidRPr="002D6E11">
        <w:rPr>
          <w:spacing w:val="0"/>
        </w:rPr>
        <w:t xml:space="preserve"> related proceedings </w:t>
      </w:r>
      <w:r w:rsidRPr="002D6E11">
        <w:rPr>
          <w:rFonts w:ascii="Albertus Extra Bold" w:hAnsi="Albertus Extra Bold"/>
          <w:spacing w:val="0"/>
        </w:rPr>
        <w:t>[</w:t>
      </w:r>
      <w:r w:rsidRPr="002D6E11">
        <w:rPr>
          <w:spacing w:val="0"/>
        </w:rPr>
        <w:t>for the violation of N.J.S.2C:34-1, prostitution and related offenses, or section 3 of P.L.1997, c.93 (C.2C:34-1.1), loitering for the purpose of engaging in prostitution, or a similar local ordinance</w:t>
      </w:r>
      <w:r w:rsidRPr="002D6E11">
        <w:rPr>
          <w:rFonts w:ascii="Albertus Extra Bold" w:hAnsi="Albertus Extra Bold"/>
          <w:spacing w:val="0"/>
        </w:rPr>
        <w:t>]</w:t>
      </w:r>
      <w:r w:rsidRPr="002D6E11">
        <w:rPr>
          <w:spacing w:val="0"/>
        </w:rPr>
        <w:t xml:space="preserve"> from all records in their custody that relate to the vacated conviction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2D6E11">
        <w:rPr>
          <w:rFonts w:ascii="Albertus Extra Bold" w:hAnsi="Albertus Extra Bold"/>
          <w:b/>
          <w:spacing w:val="0"/>
        </w:rPr>
        <w:t>]</w:t>
      </w:r>
      <w:r w:rsidRPr="002D6E11">
        <w:rPr>
          <w:rFonts w:ascii="Albertus Extra Bold" w:hAnsi="Albertus Extra Bold"/>
          <w:b/>
          <w:spacing w:val="0"/>
          <w:vertAlign w:val="superscript"/>
        </w:rPr>
        <w:t>1</w:t>
      </w:r>
      <w:r w:rsidRPr="002D6E11">
        <w:rPr>
          <w:spacing w:val="0"/>
        </w:rPr>
        <w:t xml:space="preserve">.  An expungement ordered pursuant to this section shall have the same force as an expungement ordered pursuant to N.J.S.2C:52-1 et seq. </w:t>
      </w:r>
      <w:r w:rsidRPr="002D6E11">
        <w:rPr>
          <w:spacing w:val="0"/>
          <w:u w:val="single"/>
        </w:rPr>
        <w:t>and section 9 of P.L.1994, c.136 (C.53:1-20.25), as applicable.</w:t>
      </w:r>
      <w:r w:rsidRPr="002D6E11">
        <w:rPr>
          <w:spacing w:val="0"/>
        </w:rPr>
        <w:t xml:space="preserve">  </w:t>
      </w:r>
      <w:r w:rsidRPr="002D6E11">
        <w:rPr>
          <w:rFonts w:ascii="Albertus Extra Bold" w:hAnsi="Albertus Extra Bold"/>
          <w:b/>
          <w:vertAlign w:val="superscript"/>
        </w:rPr>
        <w:t>2</w:t>
      </w:r>
      <w:r w:rsidRPr="002D6E11">
        <w:rPr>
          <w:spacing w:val="0"/>
          <w:u w:val="single"/>
        </w:rPr>
        <w:t>In addition, notwithstanding any law to the contrary, once an order to vacate and expunge has been entered on a conviction, finding of guilt, or adjudication of delinquency for an offense in which the petitioner participated as a result of having been a victim of human trafficking pursuant to section 1 of P.L.2005, c.77 (C.2C:13-8) or as defined in paragraph (14) of 22 U.S.C. s.7102, the conviction, finding of guilt, or adjudication of delinquency shall not be considered for any purpose except upon order of the court.</w:t>
      </w:r>
      <w:r w:rsidRPr="002D6E11">
        <w:rPr>
          <w:rFonts w:ascii="Albertus Extra Bold" w:hAnsi="Albertus Extra Bold"/>
          <w:b/>
          <w:vertAlign w:val="superscript"/>
        </w:rPr>
        <w:t>2</w:t>
      </w:r>
      <w:r w:rsidRPr="002D6E11">
        <w:rPr>
          <w:spacing w:val="0"/>
        </w:rPr>
        <w:t xml:space="preserve"> </w:t>
      </w:r>
      <w:r w:rsidRPr="002D6E11">
        <w:rPr>
          <w:rFonts w:ascii="Albertus Extra Bold" w:hAnsi="Albertus Extra Bold"/>
          <w:b/>
          <w:spacing w:val="0"/>
          <w:vertAlign w:val="superscript"/>
        </w:rPr>
        <w:t xml:space="preserve"> 1</w:t>
      </w:r>
      <w:r w:rsidRPr="002D6E11">
        <w:rPr>
          <w:spacing w:val="0"/>
          <w:u w:val="single"/>
        </w:rPr>
        <w:t>An order concerning the expungement of the person’s DNA record and other identifiable information from the State DNA Database shall require the Division of Criminal Justice in the Department of Law and Public Safety to purge this information in accordance with section 9 of P.L.1994, c.136 (C.53:1-20.25).</w:t>
      </w:r>
      <w:r w:rsidRPr="002D6E11">
        <w:rPr>
          <w:rFonts w:ascii="Albertus Extra Bold" w:hAnsi="Albertus Extra Bold"/>
          <w:b/>
          <w:spacing w:val="0"/>
          <w:vertAlign w:val="superscript"/>
        </w:rPr>
        <w:t>1</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e.</w:t>
      </w:r>
      <w:r w:rsidRPr="002D6E11">
        <w:rPr>
          <w:spacing w:val="0"/>
          <w:u w:val="single"/>
        </w:rPr>
        <w:tab/>
        <w:t>A court that grants relief pursuant to this section may take any additional action as appropriate under the circumstances to carry out the purposes of this section.</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w:t>
      </w:r>
      <w:proofErr w:type="spellStart"/>
      <w:r w:rsidRPr="002D6E11">
        <w:rPr>
          <w:spacing w:val="0"/>
        </w:rPr>
        <w:t>cf</w:t>
      </w:r>
      <w:proofErr w:type="spellEnd"/>
      <w:r w:rsidRPr="002D6E11">
        <w:rPr>
          <w:spacing w:val="0"/>
        </w:rPr>
        <w:t>: P.L.2013, c.51, s.10)</w:t>
      </w:r>
    </w:p>
    <w:p w:rsidR="000301E6" w:rsidRDefault="000301E6" w:rsidP="000301E6">
      <w:r w:rsidRPr="001A3279">
        <w:tab/>
        <w:t>2.</w:t>
      </w:r>
      <w:r w:rsidRPr="001A3279">
        <w:tab/>
        <w:t xml:space="preserve">This act shall take effect on the first day of the </w:t>
      </w:r>
      <w:r w:rsidR="00293D39" w:rsidRPr="00293D39">
        <w:t xml:space="preserve">fourth </w:t>
      </w:r>
      <w:r w:rsidRPr="001A3279">
        <w:t xml:space="preserve">month next following enactment, </w:t>
      </w:r>
      <w:r w:rsidR="00293D39">
        <w:t xml:space="preserve">except the Attorney General and </w:t>
      </w:r>
      <w:r w:rsidRPr="00293D39">
        <w:t>Administrative</w:t>
      </w:r>
      <w:r w:rsidR="00293D39" w:rsidRPr="00EE75BD">
        <w:t xml:space="preserve"> </w:t>
      </w:r>
      <w:r w:rsidRPr="00834897">
        <w:t>Director</w:t>
      </w:r>
      <w:r w:rsidRPr="001A3279">
        <w:t xml:space="preserve"> of the Courts may take any anticipatory administrative action in advance thereof as shall be necessary for the implementation of the act.</w:t>
      </w:r>
    </w:p>
    <w:p w:rsidR="003B5E5C" w:rsidRDefault="003B5E5C" w:rsidP="000301E6"/>
    <w:p w:rsidR="003B5E5C" w:rsidRDefault="003B5E5C" w:rsidP="000301E6"/>
    <w:p w:rsidR="003B5E5C" w:rsidRDefault="003B5E5C" w:rsidP="003B5E5C">
      <w:pPr>
        <w:jc w:val="center"/>
      </w:pPr>
      <w:r>
        <w:rPr>
          <w:u w:val="single"/>
        </w:rPr>
        <w:t>                                </w:t>
      </w:r>
    </w:p>
    <w:p w:rsidR="003B5E5C" w:rsidRDefault="003B5E5C" w:rsidP="003B5E5C">
      <w:pPr>
        <w:jc w:val="center"/>
      </w:pPr>
    </w:p>
    <w:p w:rsidR="003B5E5C" w:rsidRPr="003B5E5C" w:rsidRDefault="003B5E5C" w:rsidP="00DE2555">
      <w:bookmarkStart w:id="1" w:name="_GoBack"/>
      <w:bookmarkEnd w:id="1"/>
      <w:r>
        <w:tab/>
        <w:t>Provides for process to vacate and expunge certain arrests, charges, complaints, convictions, other dispositions, and DNA records, associated with violations by certain human trafficking victims.</w:t>
      </w:r>
    </w:p>
    <w:sectPr w:rsidR="003B5E5C" w:rsidRPr="003B5E5C" w:rsidSect="003B5E5C">
      <w:headerReference w:type="default" r:id="rId9"/>
      <w:footerReference w:type="default" r:id="rId10"/>
      <w:type w:val="continuous"/>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D" w:rsidRDefault="00D2469D">
      <w:r>
        <w:separator/>
      </w:r>
    </w:p>
  </w:endnote>
  <w:endnote w:type="continuationSeparator" w:id="0">
    <w:p w:rsidR="00D2469D" w:rsidRDefault="00D2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E6F" w:rsidRPr="00921C91" w:rsidRDefault="00E8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E6F" w:rsidRPr="00921C91" w:rsidRDefault="00E82E6F">
    <w:pPr>
      <w:pStyle w:val="Footer"/>
      <w:rPr>
        <w:szCs w:val="18"/>
      </w:rPr>
    </w:pPr>
  </w:p>
  <w:p w:rsidR="00E82E6F" w:rsidRPr="00921C91" w:rsidRDefault="00E82E6F" w:rsidP="00CA46D2">
    <w:pPr>
      <w:pStyle w:val="Footer"/>
      <w:tabs>
        <w:tab w:val="left" w:pos="5230"/>
      </w:tabs>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53B1" w:rsidRDefault="00D653B1" w:rsidP="00686AEB">
    <w:pPr>
      <w:pStyle w:val="Footer"/>
    </w:pPr>
    <w:r>
      <w:tab/>
      <w:t>Matter enclosed in superscript numerals has been adopted as follows:</w:t>
    </w:r>
  </w:p>
  <w:p w:rsidR="002D6E11" w:rsidRDefault="00D653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p w:rsidR="00D653B1" w:rsidRDefault="002D6E1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2D6E11" w:rsidRPr="002D6E11" w:rsidRDefault="002D6E1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E5C" w:rsidRDefault="003B5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D" w:rsidRDefault="00D2469D">
      <w:r>
        <w:separator/>
      </w:r>
    </w:p>
  </w:footnote>
  <w:footnote w:type="continuationSeparator" w:id="0">
    <w:p w:rsidR="00D2469D" w:rsidRDefault="00D2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DA1" w:rsidRDefault="00597DA1" w:rsidP="00597DA1">
    <w:pPr>
      <w:pStyle w:val="bpuHeadSpon"/>
    </w:pPr>
    <w:r w:rsidRPr="00597DA1">
      <w:rPr>
        <w:rStyle w:val="bpuHeadSponChar"/>
      </w:rPr>
      <w:t>A5322</w:t>
    </w:r>
    <w:r>
      <w:t xml:space="preserve"> </w:t>
    </w:r>
    <w:r w:rsidR="002D6E11">
      <w:t>[2R]</w:t>
    </w:r>
    <w:r w:rsidR="00D653B1">
      <w:t xml:space="preserve"> </w:t>
    </w:r>
    <w:r>
      <w:t>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3B5E5C">
      <w:rPr>
        <w:noProof/>
      </w:rPr>
      <w:t>2</w:t>
    </w:r>
    <w:r>
      <w:fldChar w:fldCharType="end"/>
    </w:r>
  </w:p>
  <w:p w:rsidR="00597DA1" w:rsidRDefault="00597DA1" w:rsidP="00597DA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E5C" w:rsidRDefault="003B5E5C" w:rsidP="00686AEB">
    <w:pPr>
      <w:pStyle w:val="Header"/>
      <w:jc w:val="center"/>
      <w:rPr>
        <w:rStyle w:val="PageNumber"/>
      </w:rPr>
    </w:pPr>
  </w:p>
  <w:p w:rsidR="003B5E5C" w:rsidRDefault="003B5E5C" w:rsidP="00597DA1">
    <w:pPr>
      <w:pStyle w:val="bpuHeadSpon"/>
    </w:pPr>
    <w:r w:rsidRPr="00597DA1">
      <w:rPr>
        <w:rStyle w:val="bpuHeadSponChar"/>
      </w:rPr>
      <w:t>A5322</w:t>
    </w:r>
    <w:r>
      <w:t xml:space="preserve"> [2R]</w:t>
    </w:r>
  </w:p>
  <w:p w:rsidR="003B5E5C" w:rsidRDefault="003B5E5C" w:rsidP="00597DA1">
    <w:pPr>
      <w:pStyle w:val="bpuHeadSpon"/>
    </w:pPr>
    <w:r>
      <w:fldChar w:fldCharType="begin"/>
    </w:r>
    <w:r>
      <w:instrText xml:space="preserve"> PAGE  \* MERGEFORMAT </w:instrText>
    </w:r>
    <w:r>
      <w:fldChar w:fldCharType="separate"/>
    </w:r>
    <w:r w:rsidR="00F61301">
      <w:rPr>
        <w:noProof/>
      </w:rPr>
      <w:t>5</w:t>
    </w:r>
    <w:r>
      <w:fldChar w:fldCharType="end"/>
    </w:r>
  </w:p>
  <w:p w:rsidR="003B5E5C" w:rsidRDefault="003B5E5C" w:rsidP="00597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D8"/>
    <w:rsid w:val="000051BD"/>
    <w:rsid w:val="000105AF"/>
    <w:rsid w:val="000160A5"/>
    <w:rsid w:val="0002335B"/>
    <w:rsid w:val="000301E6"/>
    <w:rsid w:val="0003549A"/>
    <w:rsid w:val="000367AE"/>
    <w:rsid w:val="00043B22"/>
    <w:rsid w:val="00054975"/>
    <w:rsid w:val="00057D20"/>
    <w:rsid w:val="0006197C"/>
    <w:rsid w:val="0006281F"/>
    <w:rsid w:val="000732D5"/>
    <w:rsid w:val="00074F6B"/>
    <w:rsid w:val="0008141C"/>
    <w:rsid w:val="00082D0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B0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3E"/>
    <w:rsid w:val="001F7405"/>
    <w:rsid w:val="00205533"/>
    <w:rsid w:val="00212B8D"/>
    <w:rsid w:val="002206C8"/>
    <w:rsid w:val="00222983"/>
    <w:rsid w:val="002240AC"/>
    <w:rsid w:val="002370D0"/>
    <w:rsid w:val="00255958"/>
    <w:rsid w:val="00257FA2"/>
    <w:rsid w:val="0026574A"/>
    <w:rsid w:val="002660BB"/>
    <w:rsid w:val="002720E8"/>
    <w:rsid w:val="00275293"/>
    <w:rsid w:val="002776B0"/>
    <w:rsid w:val="00286C7E"/>
    <w:rsid w:val="00293D39"/>
    <w:rsid w:val="002A1029"/>
    <w:rsid w:val="002A3A1A"/>
    <w:rsid w:val="002A4692"/>
    <w:rsid w:val="002A51BA"/>
    <w:rsid w:val="002B2E26"/>
    <w:rsid w:val="002B3FE6"/>
    <w:rsid w:val="002C2D81"/>
    <w:rsid w:val="002C461E"/>
    <w:rsid w:val="002C6CEC"/>
    <w:rsid w:val="002D6E11"/>
    <w:rsid w:val="002E09CE"/>
    <w:rsid w:val="002E4462"/>
    <w:rsid w:val="002E69D1"/>
    <w:rsid w:val="002F3BA6"/>
    <w:rsid w:val="003063CA"/>
    <w:rsid w:val="00315320"/>
    <w:rsid w:val="00325776"/>
    <w:rsid w:val="00325E27"/>
    <w:rsid w:val="00330395"/>
    <w:rsid w:val="00333704"/>
    <w:rsid w:val="00336624"/>
    <w:rsid w:val="0034025F"/>
    <w:rsid w:val="00340458"/>
    <w:rsid w:val="0034200F"/>
    <w:rsid w:val="003446A0"/>
    <w:rsid w:val="0034481B"/>
    <w:rsid w:val="00345DCD"/>
    <w:rsid w:val="00346915"/>
    <w:rsid w:val="00350130"/>
    <w:rsid w:val="00354334"/>
    <w:rsid w:val="003553CC"/>
    <w:rsid w:val="0036180C"/>
    <w:rsid w:val="00363CF5"/>
    <w:rsid w:val="00364344"/>
    <w:rsid w:val="003702CA"/>
    <w:rsid w:val="00370617"/>
    <w:rsid w:val="00382F1F"/>
    <w:rsid w:val="003840E5"/>
    <w:rsid w:val="00391DA4"/>
    <w:rsid w:val="003A3C64"/>
    <w:rsid w:val="003A3F83"/>
    <w:rsid w:val="003B5E5C"/>
    <w:rsid w:val="003C1930"/>
    <w:rsid w:val="003C43EF"/>
    <w:rsid w:val="003C4477"/>
    <w:rsid w:val="003C4C92"/>
    <w:rsid w:val="003C5A6B"/>
    <w:rsid w:val="003C7FB2"/>
    <w:rsid w:val="003D24DE"/>
    <w:rsid w:val="003E26D4"/>
    <w:rsid w:val="003E47BA"/>
    <w:rsid w:val="003F3B37"/>
    <w:rsid w:val="0040195A"/>
    <w:rsid w:val="00402DC0"/>
    <w:rsid w:val="00407E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62"/>
    <w:rsid w:val="00484144"/>
    <w:rsid w:val="00484C19"/>
    <w:rsid w:val="00485866"/>
    <w:rsid w:val="00492076"/>
    <w:rsid w:val="00493B1D"/>
    <w:rsid w:val="00497037"/>
    <w:rsid w:val="004A3009"/>
    <w:rsid w:val="004A6940"/>
    <w:rsid w:val="004A77A4"/>
    <w:rsid w:val="004C4D0B"/>
    <w:rsid w:val="004C742C"/>
    <w:rsid w:val="004D3229"/>
    <w:rsid w:val="004D7A0B"/>
    <w:rsid w:val="004E1F3E"/>
    <w:rsid w:val="004F21BD"/>
    <w:rsid w:val="004F4F1D"/>
    <w:rsid w:val="004F74DD"/>
    <w:rsid w:val="00501317"/>
    <w:rsid w:val="00503D3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DA1"/>
    <w:rsid w:val="005B3F92"/>
    <w:rsid w:val="005B479C"/>
    <w:rsid w:val="005B561E"/>
    <w:rsid w:val="005C07E4"/>
    <w:rsid w:val="005C2124"/>
    <w:rsid w:val="005C336F"/>
    <w:rsid w:val="005C7F3C"/>
    <w:rsid w:val="005E017C"/>
    <w:rsid w:val="005E50C6"/>
    <w:rsid w:val="005F2A97"/>
    <w:rsid w:val="005F399B"/>
    <w:rsid w:val="005F4B2A"/>
    <w:rsid w:val="006019F8"/>
    <w:rsid w:val="00602754"/>
    <w:rsid w:val="00605B20"/>
    <w:rsid w:val="0061156F"/>
    <w:rsid w:val="00613FF5"/>
    <w:rsid w:val="006155A8"/>
    <w:rsid w:val="00621076"/>
    <w:rsid w:val="00621B94"/>
    <w:rsid w:val="00626239"/>
    <w:rsid w:val="00635316"/>
    <w:rsid w:val="00635449"/>
    <w:rsid w:val="006378C5"/>
    <w:rsid w:val="006431AA"/>
    <w:rsid w:val="00645E6A"/>
    <w:rsid w:val="00647CF7"/>
    <w:rsid w:val="0066463E"/>
    <w:rsid w:val="00665CBC"/>
    <w:rsid w:val="00667A5C"/>
    <w:rsid w:val="00677316"/>
    <w:rsid w:val="00686AEB"/>
    <w:rsid w:val="006B7897"/>
    <w:rsid w:val="006B7FA7"/>
    <w:rsid w:val="006C086A"/>
    <w:rsid w:val="006C21C1"/>
    <w:rsid w:val="006C7327"/>
    <w:rsid w:val="006D00E5"/>
    <w:rsid w:val="006D791B"/>
    <w:rsid w:val="006E2895"/>
    <w:rsid w:val="006F1498"/>
    <w:rsid w:val="006F180D"/>
    <w:rsid w:val="006F4334"/>
    <w:rsid w:val="006F47AF"/>
    <w:rsid w:val="006F6B8A"/>
    <w:rsid w:val="00707CD3"/>
    <w:rsid w:val="00716BB9"/>
    <w:rsid w:val="007256D1"/>
    <w:rsid w:val="007279FD"/>
    <w:rsid w:val="00732C12"/>
    <w:rsid w:val="007502CB"/>
    <w:rsid w:val="00752D79"/>
    <w:rsid w:val="00752E20"/>
    <w:rsid w:val="00756EDE"/>
    <w:rsid w:val="0076216D"/>
    <w:rsid w:val="0076413C"/>
    <w:rsid w:val="00764456"/>
    <w:rsid w:val="00780604"/>
    <w:rsid w:val="00781B4D"/>
    <w:rsid w:val="007824BF"/>
    <w:rsid w:val="00783B8D"/>
    <w:rsid w:val="00794B94"/>
    <w:rsid w:val="00794BD4"/>
    <w:rsid w:val="007A2F73"/>
    <w:rsid w:val="007A3061"/>
    <w:rsid w:val="007A4229"/>
    <w:rsid w:val="007A5A0B"/>
    <w:rsid w:val="007A6F93"/>
    <w:rsid w:val="007B5572"/>
    <w:rsid w:val="007C0E14"/>
    <w:rsid w:val="007C771C"/>
    <w:rsid w:val="007C7DE4"/>
    <w:rsid w:val="007D40CB"/>
    <w:rsid w:val="007D5796"/>
    <w:rsid w:val="007D59C0"/>
    <w:rsid w:val="007D7D9C"/>
    <w:rsid w:val="007F485D"/>
    <w:rsid w:val="007F5573"/>
    <w:rsid w:val="007F6050"/>
    <w:rsid w:val="00812A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5D"/>
    <w:rsid w:val="00875402"/>
    <w:rsid w:val="00884D51"/>
    <w:rsid w:val="008916EC"/>
    <w:rsid w:val="00891E4F"/>
    <w:rsid w:val="008A31C5"/>
    <w:rsid w:val="008A4F9A"/>
    <w:rsid w:val="008A6B7C"/>
    <w:rsid w:val="008B2850"/>
    <w:rsid w:val="008C79B3"/>
    <w:rsid w:val="008D0144"/>
    <w:rsid w:val="008D77BD"/>
    <w:rsid w:val="008E454C"/>
    <w:rsid w:val="008F1E5A"/>
    <w:rsid w:val="00901BDA"/>
    <w:rsid w:val="009121D8"/>
    <w:rsid w:val="00912D9C"/>
    <w:rsid w:val="00916F7A"/>
    <w:rsid w:val="00917FE3"/>
    <w:rsid w:val="009318C7"/>
    <w:rsid w:val="00931C09"/>
    <w:rsid w:val="009348C2"/>
    <w:rsid w:val="009440D0"/>
    <w:rsid w:val="00951A2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0D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C6E"/>
    <w:rsid w:val="00B0116D"/>
    <w:rsid w:val="00B01173"/>
    <w:rsid w:val="00B02F35"/>
    <w:rsid w:val="00B04335"/>
    <w:rsid w:val="00B05A3C"/>
    <w:rsid w:val="00B07100"/>
    <w:rsid w:val="00B1138C"/>
    <w:rsid w:val="00B2574A"/>
    <w:rsid w:val="00B35D8A"/>
    <w:rsid w:val="00B41B1A"/>
    <w:rsid w:val="00B45B34"/>
    <w:rsid w:val="00B57047"/>
    <w:rsid w:val="00B61D86"/>
    <w:rsid w:val="00B6342D"/>
    <w:rsid w:val="00B726BD"/>
    <w:rsid w:val="00B732BC"/>
    <w:rsid w:val="00B76D0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86"/>
    <w:rsid w:val="00C04F4D"/>
    <w:rsid w:val="00C12E48"/>
    <w:rsid w:val="00C13D14"/>
    <w:rsid w:val="00C15F53"/>
    <w:rsid w:val="00C23F09"/>
    <w:rsid w:val="00C24021"/>
    <w:rsid w:val="00C25356"/>
    <w:rsid w:val="00C328D0"/>
    <w:rsid w:val="00C33AB6"/>
    <w:rsid w:val="00C46BC1"/>
    <w:rsid w:val="00C5235F"/>
    <w:rsid w:val="00C54CE2"/>
    <w:rsid w:val="00C5768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6D2"/>
    <w:rsid w:val="00CA4725"/>
    <w:rsid w:val="00CB6246"/>
    <w:rsid w:val="00CC0A17"/>
    <w:rsid w:val="00CD0F93"/>
    <w:rsid w:val="00CD1BD1"/>
    <w:rsid w:val="00CD528D"/>
    <w:rsid w:val="00CE78BF"/>
    <w:rsid w:val="00CF28AF"/>
    <w:rsid w:val="00CF65EB"/>
    <w:rsid w:val="00CF72AD"/>
    <w:rsid w:val="00D02441"/>
    <w:rsid w:val="00D039F4"/>
    <w:rsid w:val="00D10496"/>
    <w:rsid w:val="00D11173"/>
    <w:rsid w:val="00D1215F"/>
    <w:rsid w:val="00D16561"/>
    <w:rsid w:val="00D17FF8"/>
    <w:rsid w:val="00D2469D"/>
    <w:rsid w:val="00D268AC"/>
    <w:rsid w:val="00D27FF3"/>
    <w:rsid w:val="00D343D0"/>
    <w:rsid w:val="00D3664D"/>
    <w:rsid w:val="00D4588B"/>
    <w:rsid w:val="00D500E9"/>
    <w:rsid w:val="00D507BC"/>
    <w:rsid w:val="00D6090A"/>
    <w:rsid w:val="00D62FA3"/>
    <w:rsid w:val="00D63B6F"/>
    <w:rsid w:val="00D64A90"/>
    <w:rsid w:val="00D653B1"/>
    <w:rsid w:val="00D9410B"/>
    <w:rsid w:val="00D9695B"/>
    <w:rsid w:val="00DA2417"/>
    <w:rsid w:val="00DA5585"/>
    <w:rsid w:val="00DB02AC"/>
    <w:rsid w:val="00DB6AA2"/>
    <w:rsid w:val="00DE10D1"/>
    <w:rsid w:val="00DE2514"/>
    <w:rsid w:val="00DE2555"/>
    <w:rsid w:val="00DE50E4"/>
    <w:rsid w:val="00DE6851"/>
    <w:rsid w:val="00DF03EE"/>
    <w:rsid w:val="00E00EEA"/>
    <w:rsid w:val="00E01B71"/>
    <w:rsid w:val="00E05CC9"/>
    <w:rsid w:val="00E15573"/>
    <w:rsid w:val="00E1672D"/>
    <w:rsid w:val="00E25A5B"/>
    <w:rsid w:val="00E373C7"/>
    <w:rsid w:val="00E4267B"/>
    <w:rsid w:val="00E42F13"/>
    <w:rsid w:val="00E452DF"/>
    <w:rsid w:val="00E5413B"/>
    <w:rsid w:val="00E543CF"/>
    <w:rsid w:val="00E546FD"/>
    <w:rsid w:val="00E608F1"/>
    <w:rsid w:val="00E611B9"/>
    <w:rsid w:val="00E7144F"/>
    <w:rsid w:val="00E73D74"/>
    <w:rsid w:val="00E76A79"/>
    <w:rsid w:val="00E80692"/>
    <w:rsid w:val="00E80C24"/>
    <w:rsid w:val="00E82E6F"/>
    <w:rsid w:val="00E93836"/>
    <w:rsid w:val="00E953D8"/>
    <w:rsid w:val="00EA7C16"/>
    <w:rsid w:val="00EB1C28"/>
    <w:rsid w:val="00EC5281"/>
    <w:rsid w:val="00EC56B1"/>
    <w:rsid w:val="00EC5DA9"/>
    <w:rsid w:val="00EC791D"/>
    <w:rsid w:val="00EC7CA6"/>
    <w:rsid w:val="00ED3C5D"/>
    <w:rsid w:val="00ED4553"/>
    <w:rsid w:val="00EE75BD"/>
    <w:rsid w:val="00F00D08"/>
    <w:rsid w:val="00F02D45"/>
    <w:rsid w:val="00F05D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301"/>
    <w:rsid w:val="00F61E59"/>
    <w:rsid w:val="00F63D99"/>
    <w:rsid w:val="00F6426B"/>
    <w:rsid w:val="00F64D79"/>
    <w:rsid w:val="00F67CA3"/>
    <w:rsid w:val="00F709B3"/>
    <w:rsid w:val="00F71A5E"/>
    <w:rsid w:val="00F80AAC"/>
    <w:rsid w:val="00FA0AFC"/>
    <w:rsid w:val="00FA1C82"/>
    <w:rsid w:val="00FA2ED1"/>
    <w:rsid w:val="00FA4A52"/>
    <w:rsid w:val="00FB4045"/>
    <w:rsid w:val="00FB4D8E"/>
    <w:rsid w:val="00FC0D0A"/>
    <w:rsid w:val="00FC1B0B"/>
    <w:rsid w:val="00FC6823"/>
    <w:rsid w:val="00FC7606"/>
    <w:rsid w:val="00FD2F97"/>
    <w:rsid w:val="00FD6DFD"/>
    <w:rsid w:val="00FE5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CFCF7B"/>
  <w15:docId w15:val="{FC35B28A-F962-47FA-8F85-61EA4AEF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E00EEA"/>
    <w:pPr>
      <w:spacing w:line="240" w:lineRule="auto"/>
    </w:pPr>
    <w:rPr>
      <w:sz w:val="20"/>
      <w:szCs w:val="20"/>
    </w:rPr>
  </w:style>
  <w:style w:type="character" w:customStyle="1" w:styleId="FootnoteTextChar">
    <w:name w:val="Footnote Text Char"/>
    <w:basedOn w:val="DefaultParagraphFont"/>
    <w:link w:val="FootnoteText"/>
    <w:semiHidden/>
    <w:rsid w:val="00E00EEA"/>
    <w:rPr>
      <w:spacing w:val="4"/>
    </w:rPr>
  </w:style>
  <w:style w:type="character" w:styleId="FootnoteReference">
    <w:name w:val="footnote reference"/>
    <w:basedOn w:val="DefaultParagraphFont"/>
    <w:semiHidden/>
    <w:unhideWhenUsed/>
    <w:rsid w:val="00E00EEA"/>
    <w:rPr>
      <w:vertAlign w:val="superscript"/>
    </w:rPr>
  </w:style>
  <w:style w:type="paragraph" w:styleId="BalloonText">
    <w:name w:val="Balloon Text"/>
    <w:basedOn w:val="Normal"/>
    <w:link w:val="BalloonTextChar"/>
    <w:semiHidden/>
    <w:unhideWhenUsed/>
    <w:rsid w:val="00CF28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8AF"/>
    <w:rPr>
      <w:rFonts w:ascii="Segoe UI" w:hAnsi="Segoe UI" w:cs="Segoe UI"/>
      <w:spacing w:val="4"/>
      <w:sz w:val="18"/>
      <w:szCs w:val="18"/>
    </w:rPr>
  </w:style>
  <w:style w:type="character" w:styleId="LineNumber">
    <w:name w:val="line number"/>
    <w:basedOn w:val="DefaultParagraphFont"/>
    <w:semiHidden/>
    <w:unhideWhenUsed/>
    <w:rsid w:val="005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16EB8-1A6C-4E69-BBE1-C62B4D5F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1894</Words>
  <Characters>9933</Characters>
  <Application>Microsoft Office Word</Application>
  <DocSecurity>0</DocSecurity>
  <Lines>201</Lines>
  <Paragraphs>25</Paragraphs>
  <ScaleCrop>false</ScaleCrop>
  <HeadingPairs>
    <vt:vector size="2" baseType="variant">
      <vt:variant>
        <vt:lpstr>Title</vt:lpstr>
      </vt:variant>
      <vt:variant>
        <vt:i4>1</vt:i4>
      </vt:variant>
    </vt:vector>
  </HeadingPairs>
  <TitlesOfParts>
    <vt:vector size="1" baseType="lpstr">
      <vt:lpstr>P.L. 2021, c.467</vt:lpstr>
    </vt:vector>
  </TitlesOfParts>
  <Manager>Kenneth P. Howard</Manager>
  <Company>NJ Office of Legislative Services</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c.467 (A5322 2R)</dc:title>
  <dc:subject/>
  <dc:creator>Assembly, No. 5322 (Second Reprint)</dc:creator>
  <cp:keywords>A5322|5| ||0|0|!|0|</cp:keywords>
  <dc:description>INTRODUCED JANUARY 29, 2021_x000d_
Amended 3/15/21_x000d_
Amended 6/21/21</dc:description>
  <cp:lastModifiedBy>Todaro, Vivian</cp:lastModifiedBy>
  <cp:revision>2</cp:revision>
  <cp:lastPrinted>2022-01-13T20:29:00Z</cp:lastPrinted>
  <dcterms:created xsi:type="dcterms:W3CDTF">2022-03-29T14:57:00Z</dcterms:created>
  <dcterms:modified xsi:type="dcterms:W3CDTF">2022-03-29T14:57:00Z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c.467</vt:lpwstr>
  </property>
</Properties>
</file>