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D85" w:rsidRDefault="00365D85" w:rsidP="00365D85">
      <w:pPr>
        <w:pStyle w:val="bpuBill"/>
      </w:pPr>
      <w:bookmarkStart w:id="0" w:name="bpuFrontPg"/>
      <w:bookmarkStart w:id="1" w:name="_GoBack"/>
      <w:bookmarkEnd w:id="0"/>
      <w:bookmarkEnd w:id="1"/>
      <w:r>
        <w:t xml:space="preserve">ASSEMBLY RESOLUTION No. 79 </w:t>
      </w:r>
    </w:p>
    <w:p w:rsidR="00365D85" w:rsidRPr="009D38FF" w:rsidRDefault="00365D85" w:rsidP="00365D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664425" r:id="rId7"/>
        </w:object>
      </w:r>
    </w:p>
    <w:p w:rsidR="00365D85" w:rsidRDefault="00365D85" w:rsidP="00365D85">
      <w:pPr>
        <w:pStyle w:val="bpuState"/>
      </w:pPr>
      <w:r>
        <w:t>STATE OF NEW JERSEY</w:t>
      </w:r>
    </w:p>
    <w:p w:rsidR="00365D85" w:rsidRDefault="00365D85" w:rsidP="00365D85">
      <w:pPr>
        <w:pStyle w:val="bpuLegislature"/>
      </w:pPr>
      <w:r>
        <w:t>219th LEGISLATURE</w:t>
      </w:r>
    </w:p>
    <w:p w:rsidR="00365D85" w:rsidRDefault="00365D85" w:rsidP="00365D85">
      <w:pPr>
        <w:pStyle w:val="bpuWpGraphic"/>
      </w:pPr>
      <w:r>
        <w:object w:dxaOrig="8985" w:dyaOrig="255">
          <v:shape id="_x0000_i1026" type="#_x0000_t75" style="width:6in;height:12pt" o:ole="">
            <v:imagedata r:id="rId6" o:title=""/>
          </v:shape>
          <o:OLEObject Type="Embed" ProgID="WPWin6.1" ShapeID="_x0000_i1026" DrawAspect="Content" ObjectID="_1644664426" r:id="rId8"/>
        </w:object>
      </w:r>
      <w:r>
        <w:t xml:space="preserve">  </w:t>
      </w:r>
    </w:p>
    <w:p w:rsidR="00365D85" w:rsidRDefault="00365D85" w:rsidP="00365D85">
      <w:pPr>
        <w:pStyle w:val="bpuIntro"/>
      </w:pPr>
      <w:r>
        <w:t>INTRODUCED FEBRUARY 3, 2020</w:t>
      </w:r>
    </w:p>
    <w:p w:rsidR="00365D85" w:rsidRDefault="00365D85" w:rsidP="00365D85">
      <w:pPr>
        <w:pStyle w:val="bpuIntro"/>
      </w:pPr>
    </w:p>
    <w:p w:rsidR="00365D85" w:rsidRDefault="00365D85" w:rsidP="00365D85">
      <w:pPr>
        <w:pStyle w:val="bpuIntro"/>
        <w:sectPr w:rsidR="00365D85" w:rsidSect="00B0156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65D85" w:rsidRDefault="00365D85" w:rsidP="00365D85">
      <w:pPr>
        <w:pStyle w:val="bpuIntro"/>
      </w:pPr>
    </w:p>
    <w:p w:rsidR="00365D85" w:rsidRDefault="00365D85" w:rsidP="00365D85">
      <w:pPr>
        <w:pStyle w:val="bpuSponsor"/>
      </w:pPr>
      <w:r>
        <w:t>Sponsored by:</w:t>
      </w:r>
    </w:p>
    <w:p w:rsidR="00365D85" w:rsidRDefault="00365D85" w:rsidP="00365D85">
      <w:pPr>
        <w:pStyle w:val="bpuSponsor"/>
      </w:pPr>
      <w:r>
        <w:t>Assemblywoman  GABRIELA M. MOSQUERA</w:t>
      </w:r>
    </w:p>
    <w:p w:rsidR="00365D85" w:rsidRDefault="00365D85" w:rsidP="00365D85">
      <w:pPr>
        <w:pStyle w:val="bpuSponsor"/>
      </w:pPr>
      <w:r>
        <w:t>District 4 (Camden and Gloucester)</w:t>
      </w:r>
    </w:p>
    <w:p w:rsidR="00365D85" w:rsidRDefault="002064F0" w:rsidP="002064F0">
      <w:pPr>
        <w:pStyle w:val="bpuSponsor"/>
      </w:pPr>
      <w:r>
        <w:t>Assemblyman  JAMEL C. HOLLEY</w:t>
      </w:r>
    </w:p>
    <w:p w:rsidR="002064F0" w:rsidRDefault="002064F0" w:rsidP="002064F0">
      <w:pPr>
        <w:pStyle w:val="bpuSponsor"/>
      </w:pPr>
      <w:r>
        <w:t>District 20 (Union)</w:t>
      </w:r>
    </w:p>
    <w:p w:rsidR="002064F0" w:rsidRPr="002064F0" w:rsidRDefault="002064F0" w:rsidP="002064F0">
      <w:pPr>
        <w:pStyle w:val="bpuSponsor"/>
      </w:pPr>
    </w:p>
    <w:p w:rsidR="00640112" w:rsidRDefault="00B0156C" w:rsidP="00B0156C">
      <w:pPr>
        <w:pStyle w:val="bpuSponsor"/>
      </w:pPr>
      <w:r>
        <w:t>Co-Sponsored by:</w:t>
      </w:r>
    </w:p>
    <w:p w:rsidR="00B0156C" w:rsidRPr="00B0156C" w:rsidRDefault="00B0156C" w:rsidP="00B0156C">
      <w:pPr>
        <w:pStyle w:val="bpuSponsor"/>
      </w:pPr>
      <w:r w:rsidRPr="00B0156C">
        <w:t xml:space="preserve">Assemblywomen Murphy, Reynolds-Jackson, Assemblyman Moen, Assemblywomen </w:t>
      </w:r>
      <w:proofErr w:type="spellStart"/>
      <w:r w:rsidRPr="00B0156C">
        <w:t>Vainieri</w:t>
      </w:r>
      <w:proofErr w:type="spellEnd"/>
      <w:r w:rsidRPr="00B0156C">
        <w:t xml:space="preserve"> </w:t>
      </w:r>
      <w:proofErr w:type="spellStart"/>
      <w:r w:rsidRPr="00B0156C">
        <w:t>Huttle</w:t>
      </w:r>
      <w:proofErr w:type="spellEnd"/>
      <w:r w:rsidRPr="00B0156C">
        <w:t xml:space="preserve">, </w:t>
      </w:r>
      <w:proofErr w:type="spellStart"/>
      <w:r w:rsidRPr="00B0156C">
        <w:t>Pinkin</w:t>
      </w:r>
      <w:proofErr w:type="spellEnd"/>
      <w:r w:rsidRPr="00B0156C">
        <w:t xml:space="preserve">, </w:t>
      </w:r>
      <w:proofErr w:type="spellStart"/>
      <w:r w:rsidRPr="00B0156C">
        <w:t>Jasey</w:t>
      </w:r>
      <w:proofErr w:type="spellEnd"/>
      <w:r w:rsidRPr="00B0156C">
        <w:t xml:space="preserve">, </w:t>
      </w:r>
      <w:proofErr w:type="spellStart"/>
      <w:r w:rsidRPr="00B0156C">
        <w:t>Quijano</w:t>
      </w:r>
      <w:proofErr w:type="spellEnd"/>
      <w:r w:rsidRPr="00B0156C">
        <w:t xml:space="preserve"> and Assemblyman McKeon</w:t>
      </w:r>
    </w:p>
    <w:p w:rsidR="00923EA9" w:rsidRDefault="00923EA9" w:rsidP="00923EA9"/>
    <w:p w:rsidR="00923EA9" w:rsidRDefault="00923EA9" w:rsidP="00923EA9"/>
    <w:p w:rsidR="00B0156C" w:rsidRPr="00923EA9" w:rsidRDefault="00B0156C" w:rsidP="00923EA9"/>
    <w:p w:rsidR="00365D85" w:rsidRDefault="00365D85" w:rsidP="00365D85">
      <w:pPr>
        <w:pStyle w:val="bpuSponsor"/>
      </w:pPr>
    </w:p>
    <w:p w:rsidR="00365D85" w:rsidRDefault="00365D85" w:rsidP="00365D85">
      <w:pPr>
        <w:pStyle w:val="bpuSponsor"/>
      </w:pPr>
      <w:r>
        <w:t>SYNOPSIS</w:t>
      </w:r>
    </w:p>
    <w:p w:rsidR="00365D85" w:rsidRDefault="00365D85" w:rsidP="00365D85">
      <w:pPr>
        <w:pStyle w:val="bpuNormText"/>
      </w:pPr>
      <w:r>
        <w:tab/>
        <w:t xml:space="preserve">Designates March 12 through 20 of 2020 “Get Out the Count Week” to encourage full Census count of New Jersey’s population. </w:t>
      </w:r>
    </w:p>
    <w:p w:rsidR="00365D85" w:rsidRDefault="00365D85" w:rsidP="00365D85">
      <w:pPr>
        <w:pStyle w:val="bpuNormText"/>
      </w:pPr>
    </w:p>
    <w:p w:rsidR="00365D85" w:rsidRDefault="00365D85" w:rsidP="00365D85">
      <w:pPr>
        <w:pStyle w:val="bpuSponsor"/>
      </w:pPr>
      <w:r>
        <w:t xml:space="preserve">CURRENT VERSION OF TEXT </w:t>
      </w:r>
    </w:p>
    <w:p w:rsidR="00365D85" w:rsidRDefault="00365D85" w:rsidP="00365D85">
      <w:pPr>
        <w:pStyle w:val="bpuNormText"/>
      </w:pPr>
      <w:r>
        <w:tab/>
        <w:t>As introduced.</w:t>
      </w:r>
    </w:p>
    <w:p w:rsidR="00365D85" w:rsidRDefault="00365D85" w:rsidP="00365D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5D85" w:rsidRDefault="00365D85" w:rsidP="008916EC">
      <w:pPr>
        <w:pStyle w:val="FronterPage"/>
        <w:tabs>
          <w:tab w:val="clear" w:pos="720"/>
          <w:tab w:val="clear" w:pos="1440"/>
          <w:tab w:val="clear" w:pos="2160"/>
          <w:tab w:val="clear" w:pos="2880"/>
          <w:tab w:val="clear" w:pos="3600"/>
          <w:tab w:val="clear" w:pos="4320"/>
          <w:tab w:val="clear" w:pos="5040"/>
        </w:tabs>
        <w:sectPr w:rsidR="00365D85" w:rsidSect="00365D85">
          <w:type w:val="continuous"/>
          <w:pgSz w:w="12240" w:h="20160" w:code="5"/>
          <w:pgMar w:top="1440" w:right="2275" w:bottom="1440" w:left="2275" w:header="72" w:footer="720" w:gutter="0"/>
          <w:pgNumType w:start="1"/>
          <w:cols w:space="720"/>
          <w:docGrid w:linePitch="360"/>
        </w:sectPr>
      </w:pPr>
    </w:p>
    <w:p w:rsidR="00686AEB" w:rsidRPr="00677316" w:rsidRDefault="0008196A"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A71F9C" w:rsidRPr="00A71F9C">
        <w:rPr>
          <w:rStyle w:val="HangingAnActChar"/>
        </w:rPr>
        <w:t>designating March 12 through 20 of 2020 “Get Out the Count Week” to encourage a full Census count of New Jersey’s population.</w:t>
      </w:r>
    </w:p>
    <w:p w:rsidR="000B1054" w:rsidRDefault="000B1054" w:rsidP="000B1054"/>
    <w:p w:rsidR="00005542" w:rsidRDefault="00005542">
      <w:pPr>
        <w:pStyle w:val="IndentHang"/>
      </w:pPr>
      <w:r w:rsidRPr="00391B81">
        <w:rPr>
          <w:b/>
          <w:bCs/>
          <w:smallCaps/>
        </w:rPr>
        <w:t>Whereas,</w:t>
      </w:r>
      <w:r w:rsidRPr="001C43C8">
        <w:t xml:space="preserve"> </w:t>
      </w:r>
      <w:r>
        <w:t>The United States Constitution requires the conduct of a full count of the population every ten years; and</w:t>
      </w:r>
    </w:p>
    <w:p w:rsidR="00005542" w:rsidRDefault="00005542">
      <w:pPr>
        <w:pStyle w:val="IndentHang"/>
      </w:pPr>
      <w:r w:rsidRPr="00391B81">
        <w:rPr>
          <w:b/>
          <w:bCs/>
          <w:smallCaps/>
        </w:rPr>
        <w:t>Whereas,</w:t>
      </w:r>
      <w:r w:rsidRPr="001C43C8">
        <w:t xml:space="preserve"> </w:t>
      </w:r>
      <w:r>
        <w:t>The Census Bureau begins the decennial census count in January of 2020, and April</w:t>
      </w:r>
      <w:r w:rsidR="00FA29C6">
        <w:t xml:space="preserve"> </w:t>
      </w:r>
      <w:r>
        <w:t>1</w:t>
      </w:r>
      <w:r w:rsidR="00FA29C6">
        <w:t xml:space="preserve">st </w:t>
      </w:r>
      <w:r>
        <w:t>is designated as census day; and</w:t>
      </w:r>
    </w:p>
    <w:p w:rsidR="00005542" w:rsidRDefault="00005542">
      <w:pPr>
        <w:pStyle w:val="IndentHang"/>
      </w:pPr>
      <w:r w:rsidRPr="00391B81">
        <w:rPr>
          <w:b/>
          <w:bCs/>
          <w:smallCaps/>
        </w:rPr>
        <w:t>Whereas,</w:t>
      </w:r>
      <w:r w:rsidRPr="001C43C8">
        <w:t xml:space="preserve"> </w:t>
      </w:r>
      <w:r>
        <w:t>It is imperative for all households in this State to fully participate in the population count by completing the census questionnaire; and</w:t>
      </w:r>
    </w:p>
    <w:p w:rsidR="00005542" w:rsidRDefault="00005542">
      <w:pPr>
        <w:pStyle w:val="IndentHang"/>
      </w:pPr>
      <w:r w:rsidRPr="00391B81">
        <w:rPr>
          <w:b/>
          <w:bCs/>
          <w:smallCaps/>
        </w:rPr>
        <w:t>Whereas,</w:t>
      </w:r>
      <w:r w:rsidRPr="001C43C8">
        <w:t xml:space="preserve"> </w:t>
      </w:r>
      <w:r w:rsidR="00427E54">
        <w:t xml:space="preserve">The census </w:t>
      </w:r>
      <w:r w:rsidR="00D94A4A">
        <w:t>population</w:t>
      </w:r>
      <w:r w:rsidR="00427E54">
        <w:t xml:space="preserve"> count is used to </w:t>
      </w:r>
      <w:r>
        <w:t>determine how many of the 435 congressional seats are allocated to each state;</w:t>
      </w:r>
      <w:r w:rsidR="00427E54">
        <w:t xml:space="preserve"> and</w:t>
      </w:r>
    </w:p>
    <w:p w:rsidR="00427E54" w:rsidRDefault="00427E54">
      <w:pPr>
        <w:pStyle w:val="IndentHang"/>
      </w:pPr>
      <w:r w:rsidRPr="00391B81">
        <w:rPr>
          <w:b/>
          <w:bCs/>
          <w:smallCaps/>
        </w:rPr>
        <w:t>Whereas,</w:t>
      </w:r>
      <w:r w:rsidRPr="001C43C8">
        <w:t xml:space="preserve"> </w:t>
      </w:r>
      <w:r>
        <w:t>Population data issued by the Census based on the count is used to redraw legislative and congressional districts in each state; and</w:t>
      </w:r>
    </w:p>
    <w:p w:rsidR="00427E54" w:rsidRDefault="00427E54">
      <w:pPr>
        <w:pStyle w:val="IndentHang"/>
      </w:pPr>
      <w:r w:rsidRPr="00391B81">
        <w:rPr>
          <w:b/>
          <w:bCs/>
          <w:smallCaps/>
        </w:rPr>
        <w:t>Whereas,</w:t>
      </w:r>
      <w:r w:rsidRPr="001C43C8">
        <w:t xml:space="preserve"> </w:t>
      </w:r>
      <w:r>
        <w:t>Furthermore, the census population data is used to distribu</w:t>
      </w:r>
      <w:r w:rsidR="008F4239">
        <w:t>te approximately $675 billion in</w:t>
      </w:r>
      <w:r>
        <w:t xml:space="preserve"> federal funds to states and local communities throughout the country; and</w:t>
      </w:r>
    </w:p>
    <w:p w:rsidR="00427E54" w:rsidRDefault="00427E54">
      <w:pPr>
        <w:pStyle w:val="IndentHang"/>
      </w:pPr>
      <w:r w:rsidRPr="00391B81">
        <w:rPr>
          <w:b/>
          <w:bCs/>
          <w:smallCaps/>
        </w:rPr>
        <w:t>Whereas,</w:t>
      </w:r>
      <w:r w:rsidRPr="001C43C8">
        <w:t xml:space="preserve"> </w:t>
      </w:r>
      <w:r>
        <w:t>Census data also informs emergency response efforts, and research in various areas of the sciences, advancing knowledge and the ability to plan for the present and future; and</w:t>
      </w:r>
    </w:p>
    <w:p w:rsidR="00A71F9C" w:rsidRDefault="00427E54" w:rsidP="00427E54">
      <w:pPr>
        <w:pStyle w:val="IndentHang"/>
      </w:pPr>
      <w:r w:rsidRPr="00391B81">
        <w:rPr>
          <w:b/>
          <w:bCs/>
          <w:smallCaps/>
        </w:rPr>
        <w:t>Whereas,</w:t>
      </w:r>
      <w:r w:rsidRPr="001C43C8">
        <w:t xml:space="preserve"> </w:t>
      </w:r>
      <w:r>
        <w:t xml:space="preserve">Because of its importance for democratic representation, federal funding, emergency response efforts, and knowledge used for current and future </w:t>
      </w:r>
      <w:r w:rsidR="007046EB">
        <w:t xml:space="preserve">planning, it </w:t>
      </w:r>
      <w:r w:rsidR="00F4068D">
        <w:t xml:space="preserve">is imperative for this State </w:t>
      </w:r>
      <w:r>
        <w:t>to encou</w:t>
      </w:r>
      <w:r w:rsidR="00F4068D">
        <w:t xml:space="preserve">rage full participation of all </w:t>
      </w:r>
      <w:r>
        <w:t xml:space="preserve">residents in the 2020 Census; now, therefore,  </w:t>
      </w:r>
    </w:p>
    <w:p w:rsidR="00427E54" w:rsidRPr="00427E54" w:rsidRDefault="00427E54" w:rsidP="00427E54"/>
    <w:p w:rsidR="00686AEB" w:rsidRPr="00AA7880" w:rsidRDefault="00686AEB" w:rsidP="00686AEB">
      <w:r>
        <w:tab/>
      </w:r>
      <w:r w:rsidR="0008196A">
        <w:rPr>
          <w:rStyle w:val="BillHeading2"/>
        </w:rPr>
        <w:t>Be It Resolved</w:t>
      </w:r>
      <w:r>
        <w:rPr>
          <w:rStyle w:val="BillHeading2"/>
        </w:rPr>
        <w:t xml:space="preserve"> </w:t>
      </w:r>
      <w:r w:rsidR="0008196A">
        <w:rPr>
          <w:rStyle w:val="BillLanguage"/>
        </w:rPr>
        <w:t>by the General Assembly of the State of New Jersey:</w:t>
      </w:r>
    </w:p>
    <w:p w:rsidR="00686AEB" w:rsidRDefault="00686AEB" w:rsidP="00686AEB"/>
    <w:p w:rsidR="00F4068D" w:rsidRDefault="0068518A" w:rsidP="00686AEB">
      <w:r>
        <w:tab/>
        <w:t>1.</w:t>
      </w:r>
      <w:r>
        <w:tab/>
      </w:r>
      <w:r w:rsidR="00F4068D">
        <w:t>This House d</w:t>
      </w:r>
      <w:r w:rsidR="00F4068D" w:rsidRPr="00F4068D">
        <w:t xml:space="preserve">esignates March 12 through 20 of 2020 “Get Out the Count Week” </w:t>
      </w:r>
      <w:r w:rsidR="00F4068D">
        <w:t>in New Jersey to encourage full participation of this S</w:t>
      </w:r>
      <w:r w:rsidR="00F4068D" w:rsidRPr="00F4068D">
        <w:t>tate’s residents in the 2020 Census.</w:t>
      </w:r>
    </w:p>
    <w:p w:rsidR="00F4068D" w:rsidRDefault="00F4068D" w:rsidP="00686AEB"/>
    <w:p w:rsidR="00F4068D" w:rsidRPr="00D71D68" w:rsidRDefault="0068518A" w:rsidP="00686AEB">
      <w:r>
        <w:tab/>
        <w:t>2.</w:t>
      </w:r>
      <w:r>
        <w:tab/>
      </w:r>
      <w:r w:rsidR="00D97898" w:rsidRPr="00D97898">
        <w:t>Copies of this resolution, as filed with the Secretary of State, shall be transmitted by the Clerk of the General Assembly to</w:t>
      </w:r>
      <w:r w:rsidR="006A0C60">
        <w:t xml:space="preserve"> each municipal and county governing body in this State.</w:t>
      </w:r>
      <w:r w:rsidR="00265B23">
        <w:t xml:space="preserve"> </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3E5DD1" w:rsidRDefault="003E5DD1" w:rsidP="003E5DD1">
      <w:r>
        <w:tab/>
        <w:t>This resolution d</w:t>
      </w:r>
      <w:r w:rsidRPr="003E5DD1">
        <w:t>esignates March 12 through 20 of 2020 “Get Out the Count Week” to encourage a full Census count of New Jersey’s population.</w:t>
      </w:r>
    </w:p>
    <w:p w:rsidR="00F00D08" w:rsidRDefault="003E5DD1" w:rsidP="0068518A">
      <w:r>
        <w:tab/>
        <w:t xml:space="preserve">The United States Constitution requires the conduct of a full count of the population every ten years. The federal Census Bureau begins the decennial census count in January of 2020, and April 1st </w:t>
      </w:r>
      <w:r>
        <w:lastRenderedPageBreak/>
        <w:t xml:space="preserve">is designated as census day. It is imperative for all households in New Jersey to fully participate in the population count by completing the census questionnaire. The census </w:t>
      </w:r>
      <w:r w:rsidR="00D94A4A">
        <w:t>population</w:t>
      </w:r>
      <w:r>
        <w:t xml:space="preserve"> count is used to determine how many of the 435 congressional seats are allocated to each state. Population data issued by the Census based on the count is used to redraw legislative and congressional districts in each state. Furthermore, the census population data is used to distribute approximately $675 billion in federal funds to states and local communities throughout the country. Census data also informs emergency response efforts, and research in various areas of the sciences, advancing knowledge and the ability to plan for the present and future. Because of its importance for democratic representation, federal funding, emergency response efforts, and knowledge used for current and future planning, it is imperative for this State to encourage full participation of all residents in the 2020 Census.</w:t>
      </w:r>
    </w:p>
    <w:sectPr w:rsidR="00F00D08" w:rsidSect="00365D8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C10" w:rsidRDefault="00E16C10">
      <w:r>
        <w:separator/>
      </w:r>
    </w:p>
  </w:endnote>
  <w:endnote w:type="continuationSeparator" w:id="0">
    <w:p w:rsidR="00E16C10" w:rsidRDefault="00E16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4F0" w:rsidRDefault="00B0156C" w:rsidP="00B0156C">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C10" w:rsidRDefault="00E16C10">
      <w:r>
        <w:separator/>
      </w:r>
    </w:p>
  </w:footnote>
  <w:footnote w:type="continuationSeparator" w:id="0">
    <w:p w:rsidR="00E16C10" w:rsidRDefault="00E16C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53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5D85" w:rsidRDefault="00365D85" w:rsidP="00365D85">
    <w:pPr>
      <w:pStyle w:val="bpuHeadSpon"/>
    </w:pPr>
    <w:r w:rsidRPr="00365D85">
      <w:rPr>
        <w:rStyle w:val="bpuHeadSponChar"/>
      </w:rPr>
      <w:t>AR79</w:t>
    </w:r>
    <w:r>
      <w:t xml:space="preserve"> MOSQUERA</w:t>
    </w:r>
    <w:r w:rsidR="002064F0">
      <w:t>, HOLLEY</w:t>
    </w:r>
  </w:p>
  <w:p w:rsidR="00365D85" w:rsidRDefault="00365D85" w:rsidP="00365D85">
    <w:pPr>
      <w:pStyle w:val="bpuHeadSpon"/>
    </w:pPr>
    <w:r>
      <w:fldChar w:fldCharType="begin"/>
    </w:r>
    <w:r>
      <w:instrText xml:space="preserve"> PAGE  \* MERGEFORMAT </w:instrText>
    </w:r>
    <w:r>
      <w:fldChar w:fldCharType="separate"/>
    </w:r>
    <w:r w:rsidR="003E35FA">
      <w:rPr>
        <w:noProof/>
      </w:rPr>
      <w:t>3</w:t>
    </w:r>
    <w:r>
      <w:fldChar w:fldCharType="end"/>
    </w:r>
  </w:p>
  <w:p w:rsidR="00365D85" w:rsidRDefault="00365D85" w:rsidP="00365D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5D85" w:rsidRDefault="00365D85" w:rsidP="00365D85">
    <w:pPr>
      <w:pStyle w:val="bpuHeadSpon"/>
    </w:pPr>
    <w:r w:rsidRPr="00365D85">
      <w:rPr>
        <w:rStyle w:val="bpuHeadSponChar"/>
      </w:rPr>
      <w:t>AR79</w:t>
    </w:r>
    <w:r>
      <w:t xml:space="preserve"> MOSQUERA</w:t>
    </w:r>
    <w:r w:rsidR="002064F0">
      <w:t>, HOLLEY</w:t>
    </w:r>
  </w:p>
  <w:p w:rsidR="00365D85" w:rsidRDefault="00365D85" w:rsidP="00365D85">
    <w:pPr>
      <w:pStyle w:val="bpuHeadSpon"/>
    </w:pPr>
    <w:r>
      <w:fldChar w:fldCharType="begin"/>
    </w:r>
    <w:r>
      <w:instrText xml:space="preserve"> PAGE  \* MERGEFORMAT </w:instrText>
    </w:r>
    <w:r>
      <w:fldChar w:fldCharType="separate"/>
    </w:r>
    <w:r w:rsidR="00685301">
      <w:rPr>
        <w:noProof/>
      </w:rPr>
      <w:t>2</w:t>
    </w:r>
    <w:r>
      <w:fldChar w:fldCharType="end"/>
    </w:r>
  </w:p>
  <w:p w:rsidR="00365D85" w:rsidRDefault="00365D85" w:rsidP="00365D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C10"/>
    <w:rsid w:val="000051BD"/>
    <w:rsid w:val="00005542"/>
    <w:rsid w:val="000160A5"/>
    <w:rsid w:val="0002335B"/>
    <w:rsid w:val="0003549A"/>
    <w:rsid w:val="000367AE"/>
    <w:rsid w:val="00043B22"/>
    <w:rsid w:val="00054975"/>
    <w:rsid w:val="00057D20"/>
    <w:rsid w:val="0006197C"/>
    <w:rsid w:val="0006281F"/>
    <w:rsid w:val="0008141C"/>
    <w:rsid w:val="0008196A"/>
    <w:rsid w:val="00094A55"/>
    <w:rsid w:val="000A44A7"/>
    <w:rsid w:val="000B1054"/>
    <w:rsid w:val="000B3411"/>
    <w:rsid w:val="000C054C"/>
    <w:rsid w:val="000C12C2"/>
    <w:rsid w:val="000D11AF"/>
    <w:rsid w:val="000D6255"/>
    <w:rsid w:val="000D6262"/>
    <w:rsid w:val="000D7B4A"/>
    <w:rsid w:val="000E4006"/>
    <w:rsid w:val="000E472D"/>
    <w:rsid w:val="000F3DA2"/>
    <w:rsid w:val="000F5FDE"/>
    <w:rsid w:val="000F7466"/>
    <w:rsid w:val="0012129A"/>
    <w:rsid w:val="0013000E"/>
    <w:rsid w:val="00133F81"/>
    <w:rsid w:val="00135943"/>
    <w:rsid w:val="0013703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80A"/>
    <w:rsid w:val="001E15F1"/>
    <w:rsid w:val="001E16FA"/>
    <w:rsid w:val="001E6213"/>
    <w:rsid w:val="001F14C7"/>
    <w:rsid w:val="001F7405"/>
    <w:rsid w:val="00205533"/>
    <w:rsid w:val="002064F0"/>
    <w:rsid w:val="00212B8D"/>
    <w:rsid w:val="00222983"/>
    <w:rsid w:val="002370D0"/>
    <w:rsid w:val="0024134B"/>
    <w:rsid w:val="00255958"/>
    <w:rsid w:val="00257FA2"/>
    <w:rsid w:val="0026574A"/>
    <w:rsid w:val="00265B23"/>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F8C"/>
    <w:rsid w:val="002E09CE"/>
    <w:rsid w:val="002E69D1"/>
    <w:rsid w:val="002F3BA6"/>
    <w:rsid w:val="00315320"/>
    <w:rsid w:val="00325776"/>
    <w:rsid w:val="00325E27"/>
    <w:rsid w:val="00330395"/>
    <w:rsid w:val="00331A42"/>
    <w:rsid w:val="00333704"/>
    <w:rsid w:val="00336624"/>
    <w:rsid w:val="0034025F"/>
    <w:rsid w:val="00340458"/>
    <w:rsid w:val="0034200F"/>
    <w:rsid w:val="003446A0"/>
    <w:rsid w:val="0034481B"/>
    <w:rsid w:val="00350130"/>
    <w:rsid w:val="00354334"/>
    <w:rsid w:val="0036180C"/>
    <w:rsid w:val="00363CF5"/>
    <w:rsid w:val="00364344"/>
    <w:rsid w:val="00365D85"/>
    <w:rsid w:val="003702CA"/>
    <w:rsid w:val="00370617"/>
    <w:rsid w:val="00382F1F"/>
    <w:rsid w:val="00391DA4"/>
    <w:rsid w:val="003A3C64"/>
    <w:rsid w:val="003A3F83"/>
    <w:rsid w:val="003C386E"/>
    <w:rsid w:val="003C43EF"/>
    <w:rsid w:val="003C5A6B"/>
    <w:rsid w:val="003C7FB2"/>
    <w:rsid w:val="003D24DE"/>
    <w:rsid w:val="003E26D4"/>
    <w:rsid w:val="003E35FA"/>
    <w:rsid w:val="003E47BA"/>
    <w:rsid w:val="003E5DD1"/>
    <w:rsid w:val="003F3B37"/>
    <w:rsid w:val="0040195A"/>
    <w:rsid w:val="00402DC0"/>
    <w:rsid w:val="00416C4B"/>
    <w:rsid w:val="0041751E"/>
    <w:rsid w:val="004211E5"/>
    <w:rsid w:val="00422091"/>
    <w:rsid w:val="00427E5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BD1"/>
    <w:rsid w:val="00492076"/>
    <w:rsid w:val="00493B1D"/>
    <w:rsid w:val="00497037"/>
    <w:rsid w:val="004A3009"/>
    <w:rsid w:val="004A6940"/>
    <w:rsid w:val="004A77A4"/>
    <w:rsid w:val="004C742C"/>
    <w:rsid w:val="004C798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112"/>
    <w:rsid w:val="00645E6A"/>
    <w:rsid w:val="00665CBC"/>
    <w:rsid w:val="00667A5C"/>
    <w:rsid w:val="00677316"/>
    <w:rsid w:val="0068518A"/>
    <w:rsid w:val="00685301"/>
    <w:rsid w:val="00686AEB"/>
    <w:rsid w:val="006A0C60"/>
    <w:rsid w:val="006B1430"/>
    <w:rsid w:val="006B7897"/>
    <w:rsid w:val="006B7FA7"/>
    <w:rsid w:val="006C086A"/>
    <w:rsid w:val="006C21C1"/>
    <w:rsid w:val="006C7327"/>
    <w:rsid w:val="006D00E5"/>
    <w:rsid w:val="006D791B"/>
    <w:rsid w:val="006E2895"/>
    <w:rsid w:val="006F180D"/>
    <w:rsid w:val="006F4334"/>
    <w:rsid w:val="006F47AF"/>
    <w:rsid w:val="006F6B8A"/>
    <w:rsid w:val="007046EB"/>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530"/>
    <w:rsid w:val="007C0E14"/>
    <w:rsid w:val="007C7DE4"/>
    <w:rsid w:val="007D40CB"/>
    <w:rsid w:val="007D5796"/>
    <w:rsid w:val="007D59C0"/>
    <w:rsid w:val="007D7D9C"/>
    <w:rsid w:val="007F485D"/>
    <w:rsid w:val="007F6050"/>
    <w:rsid w:val="00813627"/>
    <w:rsid w:val="008304B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E19"/>
    <w:rsid w:val="008A31C5"/>
    <w:rsid w:val="008A4F9A"/>
    <w:rsid w:val="008B2850"/>
    <w:rsid w:val="008B34B7"/>
    <w:rsid w:val="008C79B3"/>
    <w:rsid w:val="008D77BD"/>
    <w:rsid w:val="008E454C"/>
    <w:rsid w:val="008F1E5A"/>
    <w:rsid w:val="008F4239"/>
    <w:rsid w:val="00901BDA"/>
    <w:rsid w:val="009121D8"/>
    <w:rsid w:val="00916F7A"/>
    <w:rsid w:val="00917FE3"/>
    <w:rsid w:val="00923EA9"/>
    <w:rsid w:val="009318C7"/>
    <w:rsid w:val="00931C09"/>
    <w:rsid w:val="009348C2"/>
    <w:rsid w:val="009440D0"/>
    <w:rsid w:val="009523A3"/>
    <w:rsid w:val="0095382D"/>
    <w:rsid w:val="00960958"/>
    <w:rsid w:val="00963A46"/>
    <w:rsid w:val="00966A3E"/>
    <w:rsid w:val="00971493"/>
    <w:rsid w:val="00971AD9"/>
    <w:rsid w:val="00973069"/>
    <w:rsid w:val="00973523"/>
    <w:rsid w:val="0097433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F9C"/>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56C"/>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A6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C09"/>
    <w:rsid w:val="00CF65EB"/>
    <w:rsid w:val="00CF72AD"/>
    <w:rsid w:val="00D02441"/>
    <w:rsid w:val="00D039F4"/>
    <w:rsid w:val="00D10496"/>
    <w:rsid w:val="00D11173"/>
    <w:rsid w:val="00D120C1"/>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A4A"/>
    <w:rsid w:val="00D9695B"/>
    <w:rsid w:val="00D97898"/>
    <w:rsid w:val="00DA2417"/>
    <w:rsid w:val="00DA5585"/>
    <w:rsid w:val="00DB02AC"/>
    <w:rsid w:val="00DB6AA2"/>
    <w:rsid w:val="00DE10D1"/>
    <w:rsid w:val="00DE2514"/>
    <w:rsid w:val="00DE6851"/>
    <w:rsid w:val="00DF03EE"/>
    <w:rsid w:val="00E01B71"/>
    <w:rsid w:val="00E05CC9"/>
    <w:rsid w:val="00E15573"/>
    <w:rsid w:val="00E16C1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068D"/>
    <w:rsid w:val="00F41A9D"/>
    <w:rsid w:val="00F44314"/>
    <w:rsid w:val="00F54B9C"/>
    <w:rsid w:val="00F56E96"/>
    <w:rsid w:val="00F573DD"/>
    <w:rsid w:val="00F61E59"/>
    <w:rsid w:val="00F63D99"/>
    <w:rsid w:val="00F6426B"/>
    <w:rsid w:val="00F709B3"/>
    <w:rsid w:val="00F71A5E"/>
    <w:rsid w:val="00FA0AFC"/>
    <w:rsid w:val="00FA1C82"/>
    <w:rsid w:val="00FA29C6"/>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F448A8"/>
  <w15:docId w15:val="{EB540686-E806-4B2B-B0EF-DF84CDFFF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0554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485B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5BD1"/>
    <w:rPr>
      <w:rFonts w:ascii="Segoe UI" w:hAnsi="Segoe UI" w:cs="Segoe UI"/>
      <w:spacing w:val="4"/>
      <w:sz w:val="18"/>
      <w:szCs w:val="18"/>
    </w:rPr>
  </w:style>
  <w:style w:type="character" w:styleId="LineNumber">
    <w:name w:val="line number"/>
    <w:basedOn w:val="DefaultParagraphFont"/>
    <w:semiHidden/>
    <w:unhideWhenUsed/>
    <w:rsid w:val="00365D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591</Words>
  <Characters>3181</Characters>
  <Application>Microsoft Office Word</Application>
  <DocSecurity>0</DocSecurity>
  <Lines>95</Lines>
  <Paragraphs>30</Paragraphs>
  <ScaleCrop>false</ScaleCrop>
  <HeadingPairs>
    <vt:vector size="2" baseType="variant">
      <vt:variant>
        <vt:lpstr>Title</vt:lpstr>
      </vt:variant>
      <vt:variant>
        <vt:i4>1</vt:i4>
      </vt:variant>
    </vt:vector>
  </HeadingPairs>
  <TitlesOfParts>
    <vt:vector size="1" baseType="lpstr">
      <vt:lpstr>AR79</vt:lpstr>
    </vt:vector>
  </TitlesOfParts>
  <Manager>R56</Manager>
  <Company>NJ Office of Legislative Services</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AR79</dc:title>
  <dc:subject/>
  <dc:creator>Assemblywoman  MOSQUERA</dc:creator>
  <cp:keywords>AR79|3|SG |223|76|305|N|0|</cp:keywords>
  <dc:description>INTRODUCED FEBRUARY 3, 2020</dc:description>
  <cp:lastModifiedBy>Franks, Denise</cp:lastModifiedBy>
  <cp:revision>2</cp:revision>
  <cp:lastPrinted>2020-03-02T19:25:00Z</cp:lastPrinted>
  <dcterms:created xsi:type="dcterms:W3CDTF">2020-03-02T19:25:00Z</dcterms:created>
  <dcterms:modified xsi:type="dcterms:W3CDTF">2020-03-02T19:25:00Z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