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0BA" w:rsidRPr="005250BA" w:rsidRDefault="005250BA" w:rsidP="005250BA">
      <w:pPr>
        <w:pStyle w:val="HangingAnAct"/>
        <w:jc w:val="center"/>
        <w:rPr>
          <w:rStyle w:val="BillHead"/>
        </w:rPr>
      </w:pPr>
      <w:bookmarkStart w:id="0" w:name="LCPL"/>
      <w:bookmarkEnd w:id="0"/>
      <w:r w:rsidRPr="005250BA">
        <w:rPr>
          <w:rStyle w:val="BillHead"/>
        </w:rPr>
        <w:t>CHAPTER 23</w:t>
      </w:r>
    </w:p>
    <w:p w:rsidR="005250BA" w:rsidRPr="005250BA" w:rsidRDefault="005250BA" w:rsidP="005250BA">
      <w:pPr>
        <w:pStyle w:val="HangingAnAct"/>
        <w:jc w:val="center"/>
        <w:rPr>
          <w:rStyle w:val="BillHead"/>
        </w:rPr>
      </w:pPr>
    </w:p>
    <w:p w:rsidR="00686AEB" w:rsidRPr="005250BA" w:rsidRDefault="004F46BB" w:rsidP="005250BA">
      <w:pPr>
        <w:pStyle w:val="HangingAnAct"/>
        <w:rPr>
          <w:rStyle w:val="HangingAnActChar"/>
        </w:rPr>
      </w:pPr>
      <w:r w:rsidRPr="005250BA">
        <w:rPr>
          <w:rStyle w:val="BillHead"/>
        </w:rPr>
        <w:t>An Act</w:t>
      </w:r>
      <w:r w:rsidR="00686AEB" w:rsidRPr="005250BA">
        <w:rPr>
          <w:rStyle w:val="HangingAnActChar"/>
        </w:rPr>
        <w:t xml:space="preserve"> </w:t>
      </w:r>
      <w:r w:rsidR="00FF65FD" w:rsidRPr="005250BA">
        <w:t>concerning the provision of care for trauma patients and supplementing Title 26 of the Revised Statutes.</w:t>
      </w:r>
    </w:p>
    <w:p w:rsidR="000B1054" w:rsidRPr="005250BA" w:rsidRDefault="000B1054" w:rsidP="000B1054"/>
    <w:p w:rsidR="00686AEB" w:rsidRPr="005250BA" w:rsidRDefault="00686AEB" w:rsidP="00686AEB">
      <w:r w:rsidRPr="005250BA">
        <w:tab/>
      </w:r>
      <w:r w:rsidR="004F46BB" w:rsidRPr="005250BA">
        <w:rPr>
          <w:rStyle w:val="BillHeading2"/>
        </w:rPr>
        <w:t>Be It Enacted</w:t>
      </w:r>
      <w:r w:rsidRPr="005250BA">
        <w:rPr>
          <w:rStyle w:val="BillHeading2"/>
        </w:rPr>
        <w:t xml:space="preserve"> </w:t>
      </w:r>
      <w:r w:rsidR="004F46BB" w:rsidRPr="005250BA">
        <w:rPr>
          <w:rStyle w:val="BillLanguage"/>
        </w:rPr>
        <w:t>by the Senate and General Assembly of the State of New Jersey:</w:t>
      </w:r>
    </w:p>
    <w:p w:rsidR="00686AEB" w:rsidRPr="005250BA" w:rsidRDefault="00686AEB" w:rsidP="00686AEB"/>
    <w:p w:rsidR="005250BA" w:rsidRDefault="005250BA" w:rsidP="00ED18C7">
      <w:r>
        <w:t>C.26:2K-12.2  Conditions for licensure for emergency medical services provider.</w:t>
      </w:r>
    </w:p>
    <w:p w:rsidR="00ED18C7" w:rsidRPr="005250BA" w:rsidRDefault="00ED18C7" w:rsidP="00ED18C7">
      <w:r w:rsidRPr="005250BA">
        <w:tab/>
        <w:t>1.</w:t>
      </w:r>
      <w:r w:rsidR="005250BA">
        <w:t xml:space="preserve"> </w:t>
      </w:r>
      <w:r w:rsidRPr="005250BA">
        <w:t>a.  Each emergency medical services provider in the State shall, as a condition of licensure, certify that its standards, practices, and protocols are in accordance with the “Guidelines for Field Triage of Injured Patients, Recommendations of the National Expert Panel on Field Triage, 2011; Centers for Disease Control and Prevention, MMWR, January 13, 2012, Vol. 61, No. 1,” or such successor guidance as may be promulgated by the federal Centers for Disease Control and Prevention.  Compliance with the requirements of this section shall be verified during the annual provider audit.</w:t>
      </w:r>
    </w:p>
    <w:p w:rsidR="00FF65FD" w:rsidRPr="005250BA" w:rsidRDefault="00FF65FD" w:rsidP="00686AEB">
      <w:r w:rsidRPr="005250BA">
        <w:tab/>
        <w:t>b.</w:t>
      </w:r>
      <w:r w:rsidRPr="005250BA">
        <w:tab/>
        <w:t>As used in this section, “emergency medical services provider” mean</w:t>
      </w:r>
      <w:r w:rsidR="008922A6" w:rsidRPr="005250BA">
        <w:t>s any association, organization</w:t>
      </w:r>
      <w:r w:rsidRPr="005250BA">
        <w:t>,</w:t>
      </w:r>
      <w:r w:rsidR="008922A6" w:rsidRPr="005250BA">
        <w:t xml:space="preserve"> </w:t>
      </w:r>
      <w:r w:rsidRPr="005250BA">
        <w:t>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5C7518" w:rsidRPr="005250BA" w:rsidRDefault="005C7518" w:rsidP="00686AEB"/>
    <w:p w:rsidR="005250BA" w:rsidRDefault="005250BA" w:rsidP="00686AEB">
      <w:r>
        <w:t>C.26:2K-70  Maintenance of trauma patient transfer criteria, agreements by general acute care hospital.</w:t>
      </w:r>
    </w:p>
    <w:p w:rsidR="00FF65FD" w:rsidRPr="005250BA" w:rsidRDefault="005C7518" w:rsidP="00686AEB">
      <w:r w:rsidRPr="005250BA">
        <w:tab/>
        <w:t>2.</w:t>
      </w:r>
      <w:r w:rsidRPr="005250BA">
        <w:tab/>
        <w:t xml:space="preserve">Each general acute care hospital licensed in the State pursuant to P.L.1971, c.136 (C.26:2H-1 et seq.) shall maintain trauma patient transfer criteria and transfer agreements, which criteria and agreements shall provide for the effective and efficient transfer of patients </w:t>
      </w:r>
      <w:r w:rsidR="007F13A7" w:rsidRPr="005250BA">
        <w:t xml:space="preserve">requiring </w:t>
      </w:r>
      <w:r w:rsidRPr="005250BA">
        <w:t xml:space="preserve">the services of a trauma center.  The </w:t>
      </w:r>
      <w:r w:rsidR="007F13A7" w:rsidRPr="005250BA">
        <w:t xml:space="preserve">Department </w:t>
      </w:r>
      <w:r w:rsidRPr="005250BA">
        <w:t xml:space="preserve">of Health shall collect and post on </w:t>
      </w:r>
      <w:r w:rsidR="007F13A7" w:rsidRPr="005250BA">
        <w:t xml:space="preserve">its </w:t>
      </w:r>
      <w:r w:rsidRPr="005250BA">
        <w:t>Internet website each hospital’s transfer criteria and transfer agreements.</w:t>
      </w:r>
    </w:p>
    <w:p w:rsidR="005C7518" w:rsidRPr="005250BA" w:rsidRDefault="005C7518" w:rsidP="00686AEB"/>
    <w:p w:rsidR="005C7518" w:rsidRPr="005250BA" w:rsidRDefault="005C7518" w:rsidP="00686AEB">
      <w:r w:rsidRPr="005250BA">
        <w:tab/>
        <w:t>3.</w:t>
      </w:r>
      <w:r w:rsidRPr="005250BA">
        <w:tab/>
        <w:t>The Commissioner of Health shall, pursuant to the “Administrative Procedure Act,” P.L.1968, c.410 (C.52:14B-1 et seq.), adopt rules and regulations as may be necessary to effectuate the provisions of this act.</w:t>
      </w:r>
    </w:p>
    <w:p w:rsidR="005C7518" w:rsidRPr="005250BA" w:rsidRDefault="005C7518" w:rsidP="00686AEB"/>
    <w:p w:rsidR="00686AEB" w:rsidRPr="005250BA" w:rsidRDefault="00686AEB" w:rsidP="00686AEB">
      <w:r w:rsidRPr="005250BA">
        <w:tab/>
      </w:r>
      <w:r w:rsidR="005C7518" w:rsidRPr="005250BA">
        <w:t>4</w:t>
      </w:r>
      <w:r w:rsidR="004F46BB" w:rsidRPr="005250BA">
        <w:t>.</w:t>
      </w:r>
      <w:r w:rsidR="005C7518" w:rsidRPr="005250BA">
        <w:tab/>
      </w:r>
      <w:r w:rsidR="0027588E" w:rsidRPr="005250BA">
        <w:t>T</w:t>
      </w:r>
      <w:r w:rsidR="005C7518" w:rsidRPr="005250BA">
        <w:t>his</w:t>
      </w:r>
      <w:r w:rsidR="004F46BB" w:rsidRPr="005250BA">
        <w:t xml:space="preserve"> act shall take effect</w:t>
      </w:r>
      <w:r w:rsidR="0027588E" w:rsidRPr="005250BA">
        <w:t xml:space="preserve"> the first day of the seventh month next following the date of enactment, except that the Commissioner of Health may take any anticipatory administrative action in advance as shall be necessary for the implementation of this act.</w:t>
      </w:r>
    </w:p>
    <w:p w:rsidR="00844F7E" w:rsidRDefault="00844F7E" w:rsidP="00686AEB"/>
    <w:p w:rsidR="005250BA" w:rsidRPr="005250BA" w:rsidRDefault="005250BA" w:rsidP="00686AEB">
      <w:r>
        <w:tab/>
        <w:t>Approved February 22, 2021.</w:t>
      </w:r>
      <w:bookmarkStart w:id="1" w:name="_GoBack"/>
      <w:bookmarkEnd w:id="1"/>
    </w:p>
    <w:sectPr w:rsidR="005250BA" w:rsidRPr="005250BA" w:rsidSect="005250B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B5" w:rsidRDefault="00A747B5">
      <w:r>
        <w:separator/>
      </w:r>
    </w:p>
  </w:endnote>
  <w:endnote w:type="continuationSeparator" w:id="0">
    <w:p w:rsidR="00A747B5" w:rsidRDefault="00A7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Default="00525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Pr="005250BA" w:rsidRDefault="005250BA" w:rsidP="005250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Pr="005250BA" w:rsidRDefault="005250BA" w:rsidP="00525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B5" w:rsidRDefault="00A747B5">
      <w:r>
        <w:separator/>
      </w:r>
    </w:p>
  </w:footnote>
  <w:footnote w:type="continuationSeparator" w:id="0">
    <w:p w:rsidR="00A747B5" w:rsidRDefault="00A7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Default="00525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Default="005250BA" w:rsidP="005250BA">
    <w:pPr>
      <w:pStyle w:val="bpuHeadSpon"/>
    </w:pPr>
    <w:r>
      <w:t>P.L. 2021, CHAPTER 23</w:t>
    </w:r>
  </w:p>
  <w:p w:rsidR="00E40ECA" w:rsidRDefault="00E40ECA" w:rsidP="005250BA">
    <w:pPr>
      <w:pStyle w:val="bpuHeadSpon"/>
    </w:pPr>
    <w:r>
      <w:fldChar w:fldCharType="begin"/>
    </w:r>
    <w:r>
      <w:instrText xml:space="preserve"> PAGE  \* MERGEFORMAT </w:instrText>
    </w:r>
    <w:r>
      <w:fldChar w:fldCharType="separate"/>
    </w:r>
    <w:r w:rsidR="005250BA">
      <w:rPr>
        <w:noProof/>
      </w:rPr>
      <w:t>2</w:t>
    </w:r>
    <w:r>
      <w:fldChar w:fldCharType="end"/>
    </w:r>
  </w:p>
  <w:p w:rsidR="00E40ECA" w:rsidRDefault="00E40ECA" w:rsidP="005250B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BA" w:rsidRDefault="00525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B5"/>
    <w:rsid w:val="000051BD"/>
    <w:rsid w:val="000160A5"/>
    <w:rsid w:val="0002335B"/>
    <w:rsid w:val="0003549A"/>
    <w:rsid w:val="000367AE"/>
    <w:rsid w:val="00043B22"/>
    <w:rsid w:val="00054975"/>
    <w:rsid w:val="00057D20"/>
    <w:rsid w:val="0006197C"/>
    <w:rsid w:val="0006281F"/>
    <w:rsid w:val="0008141C"/>
    <w:rsid w:val="00090E0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9C4"/>
    <w:rsid w:val="00194E78"/>
    <w:rsid w:val="0019707B"/>
    <w:rsid w:val="00197E8B"/>
    <w:rsid w:val="00197FA4"/>
    <w:rsid w:val="001A161A"/>
    <w:rsid w:val="001A3B79"/>
    <w:rsid w:val="001A66B6"/>
    <w:rsid w:val="001B4716"/>
    <w:rsid w:val="001B4EA4"/>
    <w:rsid w:val="001C7C52"/>
    <w:rsid w:val="001D25F3"/>
    <w:rsid w:val="001E15F1"/>
    <w:rsid w:val="001E16FA"/>
    <w:rsid w:val="001E3478"/>
    <w:rsid w:val="001E5724"/>
    <w:rsid w:val="001E6213"/>
    <w:rsid w:val="001F14C7"/>
    <w:rsid w:val="001F7405"/>
    <w:rsid w:val="00205533"/>
    <w:rsid w:val="00212B8D"/>
    <w:rsid w:val="00222983"/>
    <w:rsid w:val="002370D0"/>
    <w:rsid w:val="00255958"/>
    <w:rsid w:val="00257FA2"/>
    <w:rsid w:val="0026574A"/>
    <w:rsid w:val="002660BB"/>
    <w:rsid w:val="002720E8"/>
    <w:rsid w:val="00275293"/>
    <w:rsid w:val="0027588E"/>
    <w:rsid w:val="00277151"/>
    <w:rsid w:val="002776B0"/>
    <w:rsid w:val="00286C7E"/>
    <w:rsid w:val="00294BFE"/>
    <w:rsid w:val="002A1029"/>
    <w:rsid w:val="002A3A1A"/>
    <w:rsid w:val="002A4692"/>
    <w:rsid w:val="002A51BA"/>
    <w:rsid w:val="002B2E26"/>
    <w:rsid w:val="002B3FE6"/>
    <w:rsid w:val="002C2D81"/>
    <w:rsid w:val="002C461E"/>
    <w:rsid w:val="002C6CEC"/>
    <w:rsid w:val="002D4E6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62A"/>
    <w:rsid w:val="00461057"/>
    <w:rsid w:val="004704A8"/>
    <w:rsid w:val="00471102"/>
    <w:rsid w:val="00471F18"/>
    <w:rsid w:val="00484144"/>
    <w:rsid w:val="00484C19"/>
    <w:rsid w:val="00485866"/>
    <w:rsid w:val="00492076"/>
    <w:rsid w:val="00493B1D"/>
    <w:rsid w:val="00493BB6"/>
    <w:rsid w:val="00497037"/>
    <w:rsid w:val="004A3009"/>
    <w:rsid w:val="004A6940"/>
    <w:rsid w:val="004A77A4"/>
    <w:rsid w:val="004C742C"/>
    <w:rsid w:val="004E1F3E"/>
    <w:rsid w:val="004E7468"/>
    <w:rsid w:val="004F21BD"/>
    <w:rsid w:val="004F46BB"/>
    <w:rsid w:val="004F4F1D"/>
    <w:rsid w:val="004F74DD"/>
    <w:rsid w:val="00501317"/>
    <w:rsid w:val="0050495C"/>
    <w:rsid w:val="00505DC9"/>
    <w:rsid w:val="00506E1E"/>
    <w:rsid w:val="00513C81"/>
    <w:rsid w:val="005250BA"/>
    <w:rsid w:val="00527BFB"/>
    <w:rsid w:val="00532A32"/>
    <w:rsid w:val="00540B0B"/>
    <w:rsid w:val="0054460F"/>
    <w:rsid w:val="005536CD"/>
    <w:rsid w:val="00554051"/>
    <w:rsid w:val="00557240"/>
    <w:rsid w:val="005626CE"/>
    <w:rsid w:val="005629A4"/>
    <w:rsid w:val="005651F3"/>
    <w:rsid w:val="00572184"/>
    <w:rsid w:val="00577A15"/>
    <w:rsid w:val="00580533"/>
    <w:rsid w:val="0059131D"/>
    <w:rsid w:val="005B3F92"/>
    <w:rsid w:val="005B479C"/>
    <w:rsid w:val="005B561E"/>
    <w:rsid w:val="005C07E4"/>
    <w:rsid w:val="005C2124"/>
    <w:rsid w:val="005C336F"/>
    <w:rsid w:val="005C7518"/>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76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A38"/>
    <w:rsid w:val="007C7DE4"/>
    <w:rsid w:val="007D40CB"/>
    <w:rsid w:val="007D5796"/>
    <w:rsid w:val="007D59C0"/>
    <w:rsid w:val="007D7D9C"/>
    <w:rsid w:val="007F13A7"/>
    <w:rsid w:val="007F485D"/>
    <w:rsid w:val="007F6050"/>
    <w:rsid w:val="008003E6"/>
    <w:rsid w:val="00813627"/>
    <w:rsid w:val="00832816"/>
    <w:rsid w:val="00837109"/>
    <w:rsid w:val="008377D1"/>
    <w:rsid w:val="00840365"/>
    <w:rsid w:val="008406A3"/>
    <w:rsid w:val="00841D2C"/>
    <w:rsid w:val="00844F7E"/>
    <w:rsid w:val="00845F3C"/>
    <w:rsid w:val="008461B8"/>
    <w:rsid w:val="008462F1"/>
    <w:rsid w:val="00847EF1"/>
    <w:rsid w:val="008538FA"/>
    <w:rsid w:val="008573B0"/>
    <w:rsid w:val="00865729"/>
    <w:rsid w:val="00866563"/>
    <w:rsid w:val="00867AC2"/>
    <w:rsid w:val="0087056E"/>
    <w:rsid w:val="00875402"/>
    <w:rsid w:val="00884D51"/>
    <w:rsid w:val="008916EC"/>
    <w:rsid w:val="00891E4F"/>
    <w:rsid w:val="008922A6"/>
    <w:rsid w:val="008A31C5"/>
    <w:rsid w:val="008A4F9A"/>
    <w:rsid w:val="008B2850"/>
    <w:rsid w:val="008C79B3"/>
    <w:rsid w:val="008D77BD"/>
    <w:rsid w:val="008E454C"/>
    <w:rsid w:val="008F1E5A"/>
    <w:rsid w:val="00901BDA"/>
    <w:rsid w:val="009075C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AC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7B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6E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1E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BB"/>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ECA"/>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C7"/>
    <w:rsid w:val="00ED3C5D"/>
    <w:rsid w:val="00ED4553"/>
    <w:rsid w:val="00F00D08"/>
    <w:rsid w:val="00F07FE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B86"/>
    <w:rsid w:val="00FB4D8E"/>
    <w:rsid w:val="00FC0D0A"/>
    <w:rsid w:val="00FC1B0B"/>
    <w:rsid w:val="00FD2F97"/>
    <w:rsid w:val="00FF50C0"/>
    <w:rsid w:val="00FF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CB19C26-D882-4F9F-88B9-7DD87F98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729"/>
  </w:style>
  <w:style w:type="paragraph" w:styleId="BalloonText">
    <w:name w:val="Balloon Text"/>
    <w:basedOn w:val="Normal"/>
    <w:link w:val="BalloonTextChar"/>
    <w:semiHidden/>
    <w:unhideWhenUsed/>
    <w:rsid w:val="004E74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74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362</Words>
  <Characters>2028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P.L. 2021, c.23</vt:lpstr>
    </vt:vector>
  </TitlesOfParts>
  <Manager>Carol Yuhas</Manager>
  <Company>NJ Office of Legislative Services</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c.023 (A5103) </dc:title>
  <dc:subject>20-10789</dc:subject>
  <dc:creator>Assembly No. 5103</dc:creator>
  <cp:keywords>A5103|1| ||0|0|!|0|</cp:keywords>
  <dc:description>INTRODUCED DECEMBER 10, 2020</dc:description>
  <cp:lastModifiedBy>Franks, Denise</cp:lastModifiedBy>
  <cp:revision>2</cp:revision>
  <cp:lastPrinted>2021-03-12T16:58:00Z</cp:lastPrinted>
  <dcterms:created xsi:type="dcterms:W3CDTF">2021-03-25T17:36:00Z</dcterms:created>
  <dcterms:modified xsi:type="dcterms:W3CDTF">2021-03-25T17:36:00Z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vt:lpwstr>
  </property>
</Properties>
</file>