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4F21" w:rsidRPr="00414F21" w:rsidRDefault="00414F21" w:rsidP="00414F21">
      <w:pPr>
        <w:pStyle w:val="HangingAnAct"/>
        <w:jc w:val="center"/>
        <w:rPr>
          <w:rStyle w:val="BillHead"/>
        </w:rPr>
      </w:pPr>
      <w:bookmarkStart w:id="0" w:name="LCPL"/>
      <w:bookmarkEnd w:id="0"/>
      <w:r w:rsidRPr="00414F21">
        <w:rPr>
          <w:rStyle w:val="BillHead"/>
        </w:rPr>
        <w:t>CHAPTER 44</w:t>
      </w:r>
    </w:p>
    <w:p w:rsidR="00414F21" w:rsidRPr="00414F21" w:rsidRDefault="00414F21" w:rsidP="00414F21">
      <w:pPr>
        <w:pStyle w:val="HangingAnAct"/>
        <w:jc w:val="center"/>
        <w:rPr>
          <w:rStyle w:val="BillHead"/>
        </w:rPr>
      </w:pPr>
    </w:p>
    <w:p w:rsidR="00686AEB" w:rsidRPr="00414F21" w:rsidRDefault="007043EA" w:rsidP="00414F21">
      <w:pPr>
        <w:pStyle w:val="HangingAnAct"/>
        <w:rPr>
          <w:rStyle w:val="HangingAnActChar"/>
        </w:rPr>
      </w:pPr>
      <w:r w:rsidRPr="00414F21">
        <w:rPr>
          <w:rStyle w:val="BillHead"/>
        </w:rPr>
        <w:t>An Act</w:t>
      </w:r>
      <w:r w:rsidR="00686AEB" w:rsidRPr="00414F21">
        <w:rPr>
          <w:rStyle w:val="HangingAnActChar"/>
        </w:rPr>
        <w:t xml:space="preserve"> </w:t>
      </w:r>
      <w:r w:rsidR="009C0E12" w:rsidRPr="00414F21">
        <w:rPr>
          <w:rStyle w:val="HangingAnActChar"/>
        </w:rPr>
        <w:t>concerning the location of ballot drop boxes in each county and amending P.L.2020, c.72.</w:t>
      </w:r>
    </w:p>
    <w:p w:rsidR="000B1054" w:rsidRPr="00414F21" w:rsidRDefault="000B1054" w:rsidP="000B1054"/>
    <w:p w:rsidR="00686AEB" w:rsidRPr="00414F21" w:rsidRDefault="00686AEB" w:rsidP="00686AEB">
      <w:r w:rsidRPr="00414F21">
        <w:tab/>
      </w:r>
      <w:r w:rsidR="007043EA" w:rsidRPr="00414F21">
        <w:rPr>
          <w:rStyle w:val="BillHeading2"/>
        </w:rPr>
        <w:t>Be It Enacted</w:t>
      </w:r>
      <w:r w:rsidRPr="00414F21">
        <w:rPr>
          <w:rStyle w:val="BillHeading2"/>
        </w:rPr>
        <w:t xml:space="preserve"> </w:t>
      </w:r>
      <w:r w:rsidR="007043EA" w:rsidRPr="00414F21">
        <w:rPr>
          <w:rStyle w:val="BillLanguage"/>
        </w:rPr>
        <w:t>by the Senate and General Assembly of the State of New Jersey:</w:t>
      </w:r>
    </w:p>
    <w:p w:rsidR="00686AEB" w:rsidRPr="00414F21" w:rsidRDefault="00686AEB" w:rsidP="00686AEB"/>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1.</w:t>
      </w:r>
      <w:r w:rsidRPr="00414F21">
        <w:rPr>
          <w:spacing w:val="0"/>
        </w:rPr>
        <w:tab/>
        <w:t>Section 1 of P.L.2020, c.72 (C.19:63-16.1) is amended to read as follows:</w:t>
      </w:r>
    </w:p>
    <w:p w:rsidR="00414F21" w:rsidRDefault="00414F21"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14F21" w:rsidRDefault="00414F21"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C.19:63-16.1  Options for delivery of mail-in ballot by voter.</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1.</w:t>
      </w:r>
      <w:r w:rsidR="00001FBF">
        <w:rPr>
          <w:spacing w:val="0"/>
        </w:rPr>
        <w:tab/>
      </w:r>
      <w:r w:rsidRPr="00414F21">
        <w:rPr>
          <w:spacing w:val="0"/>
        </w:rPr>
        <w:t>a.</w:t>
      </w:r>
      <w:r w:rsidR="00414F21">
        <w:rPr>
          <w:spacing w:val="0"/>
        </w:rPr>
        <w:t xml:space="preserve"> </w:t>
      </w:r>
      <w:r w:rsidR="00001FBF">
        <w:rPr>
          <w:spacing w:val="0"/>
        </w:rPr>
        <w:t xml:space="preserve"> </w:t>
      </w:r>
      <w:bookmarkStart w:id="1" w:name="_GoBack"/>
      <w:bookmarkEnd w:id="1"/>
      <w:r w:rsidRPr="00414F21">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b.</w:t>
      </w:r>
      <w:r w:rsidR="00414F21">
        <w:rPr>
          <w:spacing w:val="0"/>
        </w:rPr>
        <w:t xml:space="preserve"> </w:t>
      </w:r>
      <w:r w:rsidRPr="00414F21">
        <w:rPr>
          <w:spacing w:val="0"/>
        </w:rPr>
        <w:t>(1)</w:t>
      </w:r>
      <w:r w:rsidR="00414F21">
        <w:rPr>
          <w:spacing w:val="0"/>
        </w:rPr>
        <w:t xml:space="preserve"> </w:t>
      </w:r>
      <w:r w:rsidRPr="00414F21">
        <w:rPr>
          <w:spacing w:val="0"/>
        </w:rPr>
        <w:t>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(2)</w:t>
      </w:r>
      <w:r w:rsidR="00414F21">
        <w:rPr>
          <w:spacing w:val="0"/>
        </w:rPr>
        <w:t xml:space="preserve"> </w:t>
      </w:r>
      <w:r w:rsidRPr="00414F21">
        <w:rPr>
          <w:spacing w:val="0"/>
        </w:rPr>
        <w:t>(a)</w:t>
      </w:r>
      <w:r w:rsidR="00414F21">
        <w:rPr>
          <w:spacing w:val="0"/>
        </w:rPr>
        <w:t xml:space="preserve"> </w:t>
      </w:r>
      <w:r w:rsidRPr="00414F21">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(b)</w:t>
      </w:r>
      <w:r w:rsidR="00414F21">
        <w:rPr>
          <w:spacing w:val="0"/>
        </w:rPr>
        <w:tab/>
      </w:r>
      <w:r w:rsidRPr="00414F21">
        <w:rPr>
          <w:spacing w:val="0"/>
        </w:rPr>
        <w:t>Beginning with the 2021 general election, at least one ballot drop box shall be located : at any county government building in which the main office of the county clerk is located; in each municipality with a population larger than 5,000 residents; at the main campus of each State college or university; and the main campus of each independent four-year college or university with enrollments larger than 5,000 students. 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(c)</w:t>
      </w:r>
      <w:r w:rsidR="00414F21">
        <w:rPr>
          <w:spacing w:val="0"/>
        </w:rPr>
        <w:tab/>
      </w:r>
      <w:r w:rsidRPr="00414F21">
        <w:rPr>
          <w:spacing w:val="0"/>
        </w:rPr>
        <w:t>The board of elections in each county</w:t>
      </w:r>
      <w:r w:rsidR="00414F21">
        <w:rPr>
          <w:spacing w:val="0"/>
        </w:rPr>
        <w:t xml:space="preserve"> </w:t>
      </w:r>
      <w:r w:rsidRPr="00414F21">
        <w:rPr>
          <w:spacing w:val="0"/>
        </w:rPr>
        <w:t>shall establish no fewer than 10 ballot drop boxes.  To the best of their ability, the board of elections of every county shall place secure ballot drop boxes based on geographic location and population density to best serve the voters of each county</w:t>
      </w:r>
      <w:r w:rsidR="00414F21">
        <w:rPr>
          <w:spacing w:val="0"/>
        </w:rPr>
        <w:t xml:space="preserve"> </w:t>
      </w:r>
      <w:r w:rsidRPr="00414F21">
        <w:rPr>
          <w:spacing w:val="0"/>
        </w:rPr>
        <w:t>in compliance with the</w:t>
      </w:r>
      <w:r w:rsidR="00414F21">
        <w:rPr>
          <w:spacing w:val="0"/>
        </w:rPr>
        <w:t xml:space="preserve"> </w:t>
      </w:r>
      <w:r w:rsidRPr="00414F21">
        <w:rPr>
          <w:spacing w:val="0"/>
        </w:rPr>
        <w:t>guidelines adopted pursuant to subsection c. of this section. The Secretary of State shall establish guidelines for the placement of the ballot drop boxes, the security of the ballot drop boxes, and the schedule for ballot pickup from the ballot boxes.</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lastRenderedPageBreak/>
        <w:tab/>
        <w:t>(d)</w:t>
      </w:r>
      <w:r w:rsidR="00414F21">
        <w:rPr>
          <w:spacing w:val="0"/>
        </w:rPr>
        <w:tab/>
      </w:r>
      <w:r w:rsidRPr="00414F21">
        <w:rPr>
          <w:spacing w:val="0"/>
        </w:rPr>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c.</w:t>
      </w:r>
      <w:r w:rsidRPr="00414F21">
        <w:rPr>
          <w:spacing w:val="0"/>
        </w:rPr>
        <w:tab/>
        <w:t>The Secretary of State, in consultation with county boards of elections, shall establish the</w:t>
      </w:r>
      <w:r w:rsidR="00414F21">
        <w:rPr>
          <w:spacing w:val="0"/>
        </w:rPr>
        <w:t xml:space="preserve"> </w:t>
      </w:r>
      <w:r w:rsidRPr="00414F21">
        <w:rPr>
          <w:spacing w:val="0"/>
        </w:rPr>
        <w:t>guidelines necessary to ensure the secure and successful implementation of the mail-in ballot drop boxes required by this section to ensure adequate access in various geographic areas of the county. In determining the ballot drop box locations, the secretary and county boards of elections shall consider, at a minimum, concentrations of population, geographic areas, voter convenience, proximity to public transportation, community-based locations, travel time to the location, proximity to other voting locations and ballot drop boxes, commuter traffic patterns, and security. The</w:t>
      </w:r>
      <w:r w:rsidR="00414F21">
        <w:rPr>
          <w:spacing w:val="0"/>
        </w:rPr>
        <w:t xml:space="preserve"> </w:t>
      </w:r>
      <w:r w:rsidRPr="00414F21">
        <w:rPr>
          <w:spacing w:val="0"/>
        </w:rPr>
        <w:t>guidelines shall include, but may not be limited to, criteria for each county board of elections to:</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(1)</w:t>
      </w:r>
      <w:r w:rsidR="00414F21">
        <w:rPr>
          <w:spacing w:val="0"/>
        </w:rPr>
        <w:tab/>
      </w:r>
      <w:r w:rsidRPr="00414F21">
        <w:rPr>
          <w:spacing w:val="0"/>
        </w:rPr>
        <w:t>determine the number of ballot drop boxes required per voter population, considering both the number of registered voters and the number of registered mail-in voters in each county before each election;</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(2)</w:t>
      </w:r>
      <w:r w:rsidRPr="00414F21">
        <w:rPr>
          <w:spacing w:val="0"/>
        </w:rPr>
        <w:tab/>
        <w:t>select the geographic location of each ballot drop box, ensuring an equitable distribution of ballot drop boxes across the county to maximize convenience to voters;</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(3)</w:t>
      </w:r>
      <w:r w:rsidR="00414F21">
        <w:rPr>
          <w:spacing w:val="0"/>
        </w:rPr>
        <w:tab/>
      </w:r>
      <w:r w:rsidRPr="00414F21">
        <w:rPr>
          <w:spacing w:val="0"/>
        </w:rPr>
        <w:t>ensure the accessibility of ballot drop boxes and drop box locations to persons with disabilities; and</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(4)</w:t>
      </w:r>
      <w:r w:rsidR="00414F21">
        <w:rPr>
          <w:spacing w:val="0"/>
        </w:rPr>
        <w:tab/>
      </w:r>
      <w:r w:rsidRPr="00414F21">
        <w:rPr>
          <w:spacing w:val="0"/>
        </w:rPr>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C22A72" w:rsidRPr="00414F21" w:rsidRDefault="00C22A72" w:rsidP="00C22A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14F21">
        <w:rPr>
          <w:spacing w:val="0"/>
        </w:rPr>
        <w:tab/>
        <w:t>d.</w:t>
      </w:r>
      <w:r w:rsidRPr="00414F21">
        <w:rPr>
          <w:spacing w:val="0"/>
        </w:rP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p>
    <w:p w:rsidR="00DB110D" w:rsidRPr="00414F21" w:rsidRDefault="00DB110D" w:rsidP="00686AEB"/>
    <w:p w:rsidR="00686AEB" w:rsidRPr="00414F21" w:rsidRDefault="00686AEB" w:rsidP="00686AEB">
      <w:r w:rsidRPr="00414F21">
        <w:tab/>
      </w:r>
      <w:r w:rsidR="00E54513" w:rsidRPr="00414F21">
        <w:t>2</w:t>
      </w:r>
      <w:r w:rsidR="007043EA" w:rsidRPr="00414F21">
        <w:t>.</w:t>
      </w:r>
      <w:r w:rsidR="00C22A72" w:rsidRPr="00414F21">
        <w:tab/>
      </w:r>
      <w:r w:rsidR="007043EA" w:rsidRPr="00414F21">
        <w:t>This act shall take effect</w:t>
      </w:r>
      <w:r w:rsidR="00E54513" w:rsidRPr="00414F21">
        <w:t xml:space="preserve"> immediately.</w:t>
      </w:r>
    </w:p>
    <w:p w:rsidR="00D94FDF" w:rsidRPr="00414F21" w:rsidRDefault="00D94FDF" w:rsidP="00686AEB"/>
    <w:p w:rsidR="00414F21" w:rsidRPr="00414F21" w:rsidRDefault="00414F21" w:rsidP="00414F21">
      <w:r>
        <w:tab/>
        <w:t>Approved April 9, 2021.</w:t>
      </w:r>
    </w:p>
    <w:sectPr w:rsidR="00414F21" w:rsidRPr="00414F21" w:rsidSect="00414F2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A76" w:rsidRDefault="00363A76">
      <w:r>
        <w:separator/>
      </w:r>
    </w:p>
  </w:endnote>
  <w:endnote w:type="continuationSeparator" w:id="0">
    <w:p w:rsidR="00363A76" w:rsidRDefault="0036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1" w:rsidRDefault="00414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1" w:rsidRPr="00414F21" w:rsidRDefault="00414F21" w:rsidP="00414F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1" w:rsidRPr="00414F21" w:rsidRDefault="00414F21" w:rsidP="00414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A76" w:rsidRDefault="00363A76">
      <w:r>
        <w:separator/>
      </w:r>
    </w:p>
  </w:footnote>
  <w:footnote w:type="continuationSeparator" w:id="0">
    <w:p w:rsidR="00363A76" w:rsidRDefault="00363A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1" w:rsidRDefault="00414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1" w:rsidRDefault="00414F21" w:rsidP="00414F21">
    <w:pPr>
      <w:pStyle w:val="bpuHeadSpon"/>
    </w:pPr>
    <w:r>
      <w:t>P.L. 2021, CHAPTER 44</w:t>
    </w:r>
  </w:p>
  <w:p w:rsidR="00D94FDF" w:rsidRDefault="00D94FDF" w:rsidP="00414F21">
    <w:pPr>
      <w:pStyle w:val="bpuHeadSpon"/>
    </w:pPr>
    <w:r>
      <w:fldChar w:fldCharType="begin"/>
    </w:r>
    <w:r>
      <w:instrText xml:space="preserve"> PAGE  \* MERGEFORMAT </w:instrText>
    </w:r>
    <w:r>
      <w:fldChar w:fldCharType="separate"/>
    </w:r>
    <w:r w:rsidR="00CF29BC">
      <w:rPr>
        <w:noProof/>
      </w:rPr>
      <w:t>2</w:t>
    </w:r>
    <w:r>
      <w:fldChar w:fldCharType="end"/>
    </w:r>
  </w:p>
  <w:p w:rsidR="00D94FDF" w:rsidRDefault="00D94FDF" w:rsidP="00414F2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F21" w:rsidRDefault="00414F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A76"/>
    <w:rsid w:val="00001FBF"/>
    <w:rsid w:val="000051BD"/>
    <w:rsid w:val="0001544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19B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199B"/>
    <w:rsid w:val="002720E8"/>
    <w:rsid w:val="00274A65"/>
    <w:rsid w:val="00275293"/>
    <w:rsid w:val="002776B0"/>
    <w:rsid w:val="00286C7E"/>
    <w:rsid w:val="002A1029"/>
    <w:rsid w:val="002A3A1A"/>
    <w:rsid w:val="002A4692"/>
    <w:rsid w:val="002A51BA"/>
    <w:rsid w:val="002B2E26"/>
    <w:rsid w:val="002B3FE6"/>
    <w:rsid w:val="002B71C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A76"/>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F21"/>
    <w:rsid w:val="00416C4B"/>
    <w:rsid w:val="0041751E"/>
    <w:rsid w:val="004211E5"/>
    <w:rsid w:val="00422091"/>
    <w:rsid w:val="0043386C"/>
    <w:rsid w:val="00436F2D"/>
    <w:rsid w:val="00436F5D"/>
    <w:rsid w:val="00441B42"/>
    <w:rsid w:val="00446C86"/>
    <w:rsid w:val="0045118A"/>
    <w:rsid w:val="00455D51"/>
    <w:rsid w:val="00456BF9"/>
    <w:rsid w:val="00461057"/>
    <w:rsid w:val="004704A8"/>
    <w:rsid w:val="00471102"/>
    <w:rsid w:val="00471F18"/>
    <w:rsid w:val="00484144"/>
    <w:rsid w:val="00484C19"/>
    <w:rsid w:val="00485866"/>
    <w:rsid w:val="00490D0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E0"/>
    <w:rsid w:val="00527BFB"/>
    <w:rsid w:val="00532A32"/>
    <w:rsid w:val="00540B0B"/>
    <w:rsid w:val="0054460F"/>
    <w:rsid w:val="005536CD"/>
    <w:rsid w:val="00554051"/>
    <w:rsid w:val="00557240"/>
    <w:rsid w:val="005629A4"/>
    <w:rsid w:val="005651F3"/>
    <w:rsid w:val="00572184"/>
    <w:rsid w:val="00577A15"/>
    <w:rsid w:val="00580533"/>
    <w:rsid w:val="0059131D"/>
    <w:rsid w:val="0059523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3EA"/>
    <w:rsid w:val="00707CD3"/>
    <w:rsid w:val="00716BB9"/>
    <w:rsid w:val="007256D1"/>
    <w:rsid w:val="007279FD"/>
    <w:rsid w:val="0073336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867"/>
    <w:rsid w:val="00841D2C"/>
    <w:rsid w:val="00845F3C"/>
    <w:rsid w:val="008461B8"/>
    <w:rsid w:val="008462F1"/>
    <w:rsid w:val="00847EF1"/>
    <w:rsid w:val="008538FA"/>
    <w:rsid w:val="008573B0"/>
    <w:rsid w:val="00861A84"/>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A97"/>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E98"/>
    <w:rsid w:val="00982770"/>
    <w:rsid w:val="009835D4"/>
    <w:rsid w:val="009865D4"/>
    <w:rsid w:val="00997152"/>
    <w:rsid w:val="009972CD"/>
    <w:rsid w:val="009A0E9C"/>
    <w:rsid w:val="009A45DA"/>
    <w:rsid w:val="009A60DE"/>
    <w:rsid w:val="009B06D2"/>
    <w:rsid w:val="009B34EC"/>
    <w:rsid w:val="009B5D67"/>
    <w:rsid w:val="009B6176"/>
    <w:rsid w:val="009C0D22"/>
    <w:rsid w:val="009C0E1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D6E"/>
    <w:rsid w:val="00A50F6B"/>
    <w:rsid w:val="00A52237"/>
    <w:rsid w:val="00A551D6"/>
    <w:rsid w:val="00A616B0"/>
    <w:rsid w:val="00A6251B"/>
    <w:rsid w:val="00A63C9F"/>
    <w:rsid w:val="00A6754E"/>
    <w:rsid w:val="00A70F58"/>
    <w:rsid w:val="00A72987"/>
    <w:rsid w:val="00A7346B"/>
    <w:rsid w:val="00A84C4F"/>
    <w:rsid w:val="00A932A1"/>
    <w:rsid w:val="00A96E06"/>
    <w:rsid w:val="00AA4CDD"/>
    <w:rsid w:val="00AA6197"/>
    <w:rsid w:val="00AA6C70"/>
    <w:rsid w:val="00AB16FD"/>
    <w:rsid w:val="00AB4813"/>
    <w:rsid w:val="00AC4BBE"/>
    <w:rsid w:val="00AC6466"/>
    <w:rsid w:val="00AC7639"/>
    <w:rsid w:val="00AD08BB"/>
    <w:rsid w:val="00AD0EC0"/>
    <w:rsid w:val="00AD219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85E"/>
    <w:rsid w:val="00B52146"/>
    <w:rsid w:val="00B52162"/>
    <w:rsid w:val="00B56A6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6A2"/>
    <w:rsid w:val="00C04F4D"/>
    <w:rsid w:val="00C12E48"/>
    <w:rsid w:val="00C13D14"/>
    <w:rsid w:val="00C15F53"/>
    <w:rsid w:val="00C22A72"/>
    <w:rsid w:val="00C23F09"/>
    <w:rsid w:val="00C25356"/>
    <w:rsid w:val="00C328D0"/>
    <w:rsid w:val="00C46BC1"/>
    <w:rsid w:val="00C51AB7"/>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9B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FDF"/>
    <w:rsid w:val="00D9695B"/>
    <w:rsid w:val="00DA2417"/>
    <w:rsid w:val="00DA5585"/>
    <w:rsid w:val="00DB02AC"/>
    <w:rsid w:val="00DB110D"/>
    <w:rsid w:val="00DB6AA2"/>
    <w:rsid w:val="00DE10D1"/>
    <w:rsid w:val="00DE2514"/>
    <w:rsid w:val="00DE6851"/>
    <w:rsid w:val="00DF03EE"/>
    <w:rsid w:val="00DF402F"/>
    <w:rsid w:val="00E01B71"/>
    <w:rsid w:val="00E05CC9"/>
    <w:rsid w:val="00E15573"/>
    <w:rsid w:val="00E25A5B"/>
    <w:rsid w:val="00E34520"/>
    <w:rsid w:val="00E373C7"/>
    <w:rsid w:val="00E4267B"/>
    <w:rsid w:val="00E42F13"/>
    <w:rsid w:val="00E452DF"/>
    <w:rsid w:val="00E543CF"/>
    <w:rsid w:val="00E54513"/>
    <w:rsid w:val="00E546FD"/>
    <w:rsid w:val="00E608F1"/>
    <w:rsid w:val="00E611B9"/>
    <w:rsid w:val="00E7144F"/>
    <w:rsid w:val="00E73D74"/>
    <w:rsid w:val="00E76A79"/>
    <w:rsid w:val="00E80692"/>
    <w:rsid w:val="00E80C24"/>
    <w:rsid w:val="00E93836"/>
    <w:rsid w:val="00EA5299"/>
    <w:rsid w:val="00EA7507"/>
    <w:rsid w:val="00EA7C16"/>
    <w:rsid w:val="00EC5281"/>
    <w:rsid w:val="00EC791D"/>
    <w:rsid w:val="00EC7CA6"/>
    <w:rsid w:val="00ED3C5D"/>
    <w:rsid w:val="00ED4553"/>
    <w:rsid w:val="00ED4CC9"/>
    <w:rsid w:val="00F00D08"/>
    <w:rsid w:val="00F1350D"/>
    <w:rsid w:val="00F15583"/>
    <w:rsid w:val="00F17C18"/>
    <w:rsid w:val="00F200EE"/>
    <w:rsid w:val="00F22481"/>
    <w:rsid w:val="00F2542E"/>
    <w:rsid w:val="00F27278"/>
    <w:rsid w:val="00F3183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C98B7F"/>
  <w15:docId w15:val="{1BEFA1BD-3E55-4310-B310-37CBD1F3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A4CDD"/>
  </w:style>
  <w:style w:type="paragraph" w:styleId="BalloonText">
    <w:name w:val="Balloon Text"/>
    <w:basedOn w:val="Normal"/>
    <w:link w:val="BalloonTextChar"/>
    <w:semiHidden/>
    <w:unhideWhenUsed/>
    <w:rsid w:val="00C046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46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8BB12-1D4C-4C5C-9545-3EAB7290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1076</Words>
  <Characters>5466</Characters>
  <Application>Microsoft Office Word</Application>
  <DocSecurity>0</DocSecurity>
  <Lines>84</Lines>
  <Paragraphs>19</Paragraphs>
  <ScaleCrop>false</ScaleCrop>
  <HeadingPairs>
    <vt:vector size="2" baseType="variant">
      <vt:variant>
        <vt:lpstr>Title</vt:lpstr>
      </vt:variant>
      <vt:variant>
        <vt:i4>1</vt:i4>
      </vt:variant>
    </vt:vector>
  </HeadingPairs>
  <TitlesOfParts>
    <vt:vector size="1" baseType="lpstr">
      <vt:lpstr>P.L. 2021, c.44</vt:lpstr>
    </vt:vector>
  </TitlesOfParts>
  <Manager>Carol Yuhas</Manager>
  <Company>NJ Office of Legislative Services</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c.044 (A5373 2R)</dc:title>
  <dc:subject/>
  <dc:creator>Assembly No. 5373 (Second Reprint)</dc:creator>
  <cp:keywords>A5373|2| ||0|0|!|0|</cp:keywords>
  <dc:description>INTRODUCED FEBRUARY 23, 2021_x000d_
Amended 3/17/21_x000d_
Amended 3/25/21</dc:description>
  <cp:lastModifiedBy>Franks, Denise</cp:lastModifiedBy>
  <cp:revision>2</cp:revision>
  <cp:lastPrinted>2021-04-19T15:31:00Z</cp:lastPrinted>
  <dcterms:created xsi:type="dcterms:W3CDTF">2021-05-07T15:06:00Z</dcterms:created>
  <dcterms:modified xsi:type="dcterms:W3CDTF">2021-05-07T15:06:00Z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c.44</vt:lpwstr>
  </property>
</Properties>
</file>