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718DCE" w14:textId="77777777" w:rsidR="000F3FD2" w:rsidRPr="000F3FD2" w:rsidRDefault="000F3FD2" w:rsidP="000F3FD2">
      <w:pPr>
        <w:pStyle w:val="HangingAnAct"/>
        <w:jc w:val="center"/>
        <w:rPr>
          <w:rStyle w:val="BillHead"/>
        </w:rPr>
      </w:pPr>
      <w:bookmarkStart w:id="0" w:name="LCPL"/>
      <w:bookmarkEnd w:id="0"/>
      <w:r w:rsidRPr="000F3FD2">
        <w:rPr>
          <w:rStyle w:val="BillHead"/>
        </w:rPr>
        <w:t>CHAPTER 450</w:t>
      </w:r>
    </w:p>
    <w:p w14:paraId="12FF68BA" w14:textId="77777777" w:rsidR="000F3FD2" w:rsidRPr="000F3FD2" w:rsidRDefault="000F3FD2" w:rsidP="000F3FD2">
      <w:pPr>
        <w:pStyle w:val="HangingAnAct"/>
        <w:jc w:val="center"/>
        <w:rPr>
          <w:rStyle w:val="BillHead"/>
        </w:rPr>
      </w:pPr>
    </w:p>
    <w:p w14:paraId="5F461023" w14:textId="3ED1D5AF" w:rsidR="00686AEB" w:rsidRPr="000F3FD2" w:rsidRDefault="00C8577A" w:rsidP="000F3FD2">
      <w:pPr>
        <w:pStyle w:val="HangingAnAct"/>
        <w:jc w:val="left"/>
        <w:rPr>
          <w:rStyle w:val="HangingAnActChar"/>
        </w:rPr>
      </w:pPr>
      <w:r w:rsidRPr="000F3FD2">
        <w:rPr>
          <w:rStyle w:val="BillHead"/>
        </w:rPr>
        <w:t>An Act</w:t>
      </w:r>
      <w:r w:rsidR="00686AEB" w:rsidRPr="000F3FD2">
        <w:rPr>
          <w:rStyle w:val="HangingAnActChar"/>
        </w:rPr>
        <w:t xml:space="preserve"> </w:t>
      </w:r>
      <w:r w:rsidR="00742C2D" w:rsidRPr="000F3FD2">
        <w:rPr>
          <w:rStyle w:val="HangingAnActChar"/>
        </w:rPr>
        <w:t>concerning promotional gaming credits for sports wagering and supplementing P.L.2018, c.33 (C.5:12A-10 et seq.).</w:t>
      </w:r>
    </w:p>
    <w:p w14:paraId="1DE5E4F6" w14:textId="77777777" w:rsidR="000B1054" w:rsidRPr="000F3FD2" w:rsidRDefault="000B1054" w:rsidP="000B1054"/>
    <w:p w14:paraId="178D6778" w14:textId="77777777" w:rsidR="00686AEB" w:rsidRPr="000F3FD2" w:rsidRDefault="00686AEB" w:rsidP="00686AEB">
      <w:r w:rsidRPr="000F3FD2">
        <w:tab/>
      </w:r>
      <w:r w:rsidR="00C8577A" w:rsidRPr="000F3FD2">
        <w:rPr>
          <w:rStyle w:val="BillHeading2"/>
        </w:rPr>
        <w:t>Be It Enacted</w:t>
      </w:r>
      <w:r w:rsidRPr="000F3FD2">
        <w:rPr>
          <w:rStyle w:val="BillHeading2"/>
        </w:rPr>
        <w:t xml:space="preserve"> </w:t>
      </w:r>
      <w:r w:rsidR="00C8577A" w:rsidRPr="000F3FD2">
        <w:rPr>
          <w:rStyle w:val="BillLanguage"/>
        </w:rPr>
        <w:t>by the Senate and General Assembly of the State of New Jersey:</w:t>
      </w:r>
    </w:p>
    <w:p w14:paraId="26C71F9E" w14:textId="331ADEE3" w:rsidR="00686AEB" w:rsidRPr="000F3FD2" w:rsidRDefault="00686AEB" w:rsidP="00686AEB"/>
    <w:p w14:paraId="28E57EFC" w14:textId="2DE7E67F" w:rsidR="00A024FA" w:rsidRPr="000F3FD2" w:rsidRDefault="00A024FA" w:rsidP="00686AEB">
      <w:r w:rsidRPr="00747F4A">
        <w:t>C.5:12A-16.1</w:t>
      </w:r>
      <w:r w:rsidRPr="000F3FD2">
        <w:t xml:space="preserve">  </w:t>
      </w:r>
      <w:r w:rsidR="00DB6D04" w:rsidRPr="000F3FD2">
        <w:t>Deduction from gross revenue from non-Internet sports wagering</w:t>
      </w:r>
      <w:r w:rsidR="00CB0DA6" w:rsidRPr="000F3FD2">
        <w:t>; procedure to ensure against loss to Casino Revenue Fund</w:t>
      </w:r>
      <w:r w:rsidR="00002BEA" w:rsidRPr="000F3FD2">
        <w:t>.</w:t>
      </w:r>
    </w:p>
    <w:p w14:paraId="212114E9" w14:textId="5BC3B05C" w:rsidR="00B72C30" w:rsidRPr="000F3FD2" w:rsidRDefault="00747F4A" w:rsidP="00B72C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1. </w:t>
      </w:r>
      <w:r w:rsidR="007963D4">
        <w:rPr>
          <w:spacing w:val="0"/>
        </w:rPr>
        <w:t xml:space="preserve"> </w:t>
      </w:r>
      <w:r>
        <w:rPr>
          <w:spacing w:val="0"/>
        </w:rPr>
        <w:t>a.</w:t>
      </w:r>
      <w:r w:rsidR="00B72C30" w:rsidRPr="000F3FD2">
        <w:rPr>
          <w:spacing w:val="0"/>
        </w:rPr>
        <w:t xml:space="preserve"> </w:t>
      </w:r>
      <w:r w:rsidR="007963D4">
        <w:rPr>
          <w:spacing w:val="0"/>
        </w:rPr>
        <w:t xml:space="preserve"> </w:t>
      </w:r>
      <w:bookmarkStart w:id="1" w:name="_GoBack"/>
      <w:bookmarkEnd w:id="1"/>
      <w:r w:rsidR="00B72C30" w:rsidRPr="000F3FD2">
        <w:rPr>
          <w:spacing w:val="0"/>
        </w:rPr>
        <w:t>A casino or racetrack that holds a sports wagering license shall receive an annual deduction from the gross revenue from non-Internet sports wagering taxed pursuant to section 7 of P.L.2018, c.33 (C.5:12A-16) in an amount equal to the promotional gaming credits actually wagered by patrons, that are reported by that licensee in its annual tax return.</w:t>
      </w:r>
    </w:p>
    <w:p w14:paraId="68E1C1AC" w14:textId="5B17B0FD" w:rsidR="00B72C30" w:rsidRPr="000F3FD2" w:rsidRDefault="00747F4A" w:rsidP="00B72C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b.</w:t>
      </w:r>
      <w:r>
        <w:rPr>
          <w:spacing w:val="0"/>
        </w:rPr>
        <w:tab/>
      </w:r>
      <w:r w:rsidR="00B72C30" w:rsidRPr="000F3FD2">
        <w:rPr>
          <w:spacing w:val="0"/>
        </w:rPr>
        <w:t xml:space="preserve">A casino or racetrack that holds a sports wagering license shall be allowed the deduction, pursuant to subsection a. of this section, from gross revenues from non-Internet sports wagering for a tax year for the total value of promotional gaming credits actually wagered by patrons at all licensed casinos and racetracks for that tax year in excess of $8,000,000. </w:t>
      </w:r>
      <w:r w:rsidR="000A5E3D">
        <w:rPr>
          <w:spacing w:val="0"/>
        </w:rPr>
        <w:t xml:space="preserve"> </w:t>
      </w:r>
      <w:r w:rsidR="00B72C30" w:rsidRPr="000F3FD2">
        <w:rPr>
          <w:spacing w:val="0"/>
        </w:rPr>
        <w:t>For the first tax year in which this act takes effect, the division shall reduce the $8,000,000 deduction threshold for that tax year in proportion to the part of the tax year that has elapsed prior to the effective date of this act.</w:t>
      </w:r>
    </w:p>
    <w:p w14:paraId="37CFC950" w14:textId="360EA1B9" w:rsidR="00B72C30" w:rsidRPr="000F3FD2" w:rsidRDefault="00747F4A" w:rsidP="00B72C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c. </w:t>
      </w:r>
      <w:r w:rsidR="007963D4">
        <w:rPr>
          <w:spacing w:val="0"/>
        </w:rPr>
        <w:t xml:space="preserve"> </w:t>
      </w:r>
      <w:r>
        <w:rPr>
          <w:spacing w:val="0"/>
        </w:rPr>
        <w:t xml:space="preserve">(1) </w:t>
      </w:r>
      <w:r w:rsidR="007963D4">
        <w:rPr>
          <w:spacing w:val="0"/>
        </w:rPr>
        <w:t xml:space="preserve"> </w:t>
      </w:r>
      <w:r w:rsidR="00B72C30" w:rsidRPr="000F3FD2">
        <w:rPr>
          <w:spacing w:val="0"/>
        </w:rPr>
        <w:t xml:space="preserve">The division shall establish, by regulation, procedures to ensure that the promotional gaming credit deduction established pursuant to this section does not result in a negative fiscal impact to the Casino Revenue Fund, or the General Fund as appropriate under section 7 of P.L.2018, c.33 (C.5:12A-16). </w:t>
      </w:r>
      <w:r w:rsidR="000A5E3D">
        <w:rPr>
          <w:spacing w:val="0"/>
        </w:rPr>
        <w:t xml:space="preserve"> </w:t>
      </w:r>
      <w:r w:rsidR="00B72C30" w:rsidRPr="000F3FD2">
        <w:rPr>
          <w:spacing w:val="0"/>
        </w:rPr>
        <w:t>If necessary, the division may reduce the value of the available deduction to eliminate any negative fiscal impact to the Casino Revenue Fund, or the General Fund as appropriate, attributable solely to the deduction and not to other economic or other factors that cause a negative fiscal impact to the Casino Revenue Fund, or the General Fund as appropriate.</w:t>
      </w:r>
    </w:p>
    <w:p w14:paraId="396AD622" w14:textId="36A1CB76" w:rsidR="00B72C30" w:rsidRPr="000F3FD2" w:rsidRDefault="00C052C2" w:rsidP="00B72C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(2)</w:t>
      </w:r>
      <w:r>
        <w:rPr>
          <w:spacing w:val="0"/>
        </w:rPr>
        <w:tab/>
      </w:r>
      <w:r w:rsidR="00B72C30" w:rsidRPr="000F3FD2">
        <w:rPr>
          <w:spacing w:val="0"/>
        </w:rPr>
        <w:t>For the purposes of this subsection, "negative fiscal impact to the Casino Revenue Fund or the General Fund" shall mean that the amount generated from taxation of promotional gaming credits falls below the level generated in calendar year 2017.</w:t>
      </w:r>
    </w:p>
    <w:p w14:paraId="52A5A88C" w14:textId="2BECDCDA" w:rsidR="00B72C30" w:rsidRPr="000F3FD2" w:rsidRDefault="00C22802" w:rsidP="00B72C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d.</w:t>
      </w:r>
      <w:r>
        <w:rPr>
          <w:spacing w:val="0"/>
        </w:rPr>
        <w:tab/>
      </w:r>
      <w:r w:rsidR="00B72C30" w:rsidRPr="000F3FD2">
        <w:rPr>
          <w:spacing w:val="0"/>
        </w:rPr>
        <w:t>No deduction shall be allowed pursuant to this section for any promotional gaming credits included in the calculation of any other deduction for promotional gaming credits, including, but not limited to, the deduction allowed pursuant to section 2 of P.L.2008, c.12 (C.5:12-144.2).</w:t>
      </w:r>
    </w:p>
    <w:p w14:paraId="17586AB5" w14:textId="6F1AFEC8" w:rsidR="001C4024" w:rsidRPr="000F3FD2" w:rsidRDefault="00B72C30" w:rsidP="001C402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0F3FD2">
        <w:rPr>
          <w:b/>
        </w:rPr>
        <w:tab/>
      </w:r>
      <w:r w:rsidR="00C052C2">
        <w:t>e.</w:t>
      </w:r>
      <w:r w:rsidR="00C052C2">
        <w:tab/>
      </w:r>
      <w:r w:rsidRPr="000F3FD2">
        <w:t>As used in this sect</w:t>
      </w:r>
      <w:r w:rsidR="00D44E56">
        <w:t>ion, “promotional gaming credit”</w:t>
      </w:r>
      <w:r w:rsidRPr="000F3FD2">
        <w:t xml:space="preserve"> means a sports wagering credit or other item approved by the division that is issued by a casino or racetrack that holds a sports wagering license to a patron for the purpose of enabling the placement of a wager in a sports pool in the licensee’s casino or racetrack.  No such credit shall be reported as a promotional gaming credit unless the licensee can establish that the credit was issued by the licensee and received from a patron as a wager in a sports pool in the licensee’s casino or racetrack.</w:t>
      </w:r>
    </w:p>
    <w:p w14:paraId="6D53FCF4" w14:textId="77777777" w:rsidR="00621F0E" w:rsidRPr="000F3FD2" w:rsidRDefault="00621F0E" w:rsidP="00686AEB"/>
    <w:p w14:paraId="4C8847C3" w14:textId="3E8888FB" w:rsidR="006A7A7F" w:rsidRPr="000F3FD2" w:rsidRDefault="00686AEB" w:rsidP="0064233E">
      <w:r w:rsidRPr="000F3FD2">
        <w:tab/>
      </w:r>
      <w:r w:rsidR="000D3E6C" w:rsidRPr="000F3FD2">
        <w:t>2</w:t>
      </w:r>
      <w:r w:rsidR="00621F0E" w:rsidRPr="000F3FD2">
        <w:t>.</w:t>
      </w:r>
      <w:r w:rsidR="00621F0E" w:rsidRPr="000F3FD2">
        <w:tab/>
      </w:r>
      <w:r w:rsidR="00C8577A" w:rsidRPr="000F3FD2">
        <w:t>This act shall take effect</w:t>
      </w:r>
      <w:r w:rsidR="00F440F9" w:rsidRPr="000F3FD2">
        <w:t xml:space="preserve"> </w:t>
      </w:r>
      <w:r w:rsidR="000D3E6C" w:rsidRPr="000F3FD2">
        <w:t>immediately.</w:t>
      </w:r>
    </w:p>
    <w:p w14:paraId="16FBEBEA" w14:textId="081F7C6E" w:rsidR="00A5061A" w:rsidRPr="000F3FD2" w:rsidRDefault="00A5061A" w:rsidP="0064233E"/>
    <w:p w14:paraId="3CC59019" w14:textId="126617C7" w:rsidR="000F3FD2" w:rsidRPr="000F3FD2" w:rsidRDefault="000F3FD2" w:rsidP="000F3FD2">
      <w:r>
        <w:tab/>
        <w:t>Approved January 18, 2022.</w:t>
      </w:r>
    </w:p>
    <w:sectPr w:rsidR="000F3FD2" w:rsidRPr="000F3FD2" w:rsidSect="000F3FD2">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00B3B0" w14:textId="77777777" w:rsidR="00DC7786" w:rsidRDefault="00DC7786">
      <w:r>
        <w:separator/>
      </w:r>
    </w:p>
  </w:endnote>
  <w:endnote w:type="continuationSeparator" w:id="0">
    <w:p w14:paraId="083485B5" w14:textId="77777777" w:rsidR="00DC7786" w:rsidRDefault="00DC77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8AD217" w14:textId="77777777" w:rsidR="000F3FD2" w:rsidRDefault="000F3FD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91E5CE" w14:textId="77777777" w:rsidR="000F3FD2" w:rsidRPr="000F3FD2" w:rsidRDefault="000F3FD2" w:rsidP="000F3FD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114C2E" w14:textId="77777777" w:rsidR="000F3FD2" w:rsidRPr="000F3FD2" w:rsidRDefault="000F3FD2" w:rsidP="000F3F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DB0AE9" w14:textId="77777777" w:rsidR="00DC7786" w:rsidRDefault="00DC7786">
      <w:r>
        <w:separator/>
      </w:r>
    </w:p>
  </w:footnote>
  <w:footnote w:type="continuationSeparator" w:id="0">
    <w:p w14:paraId="2C0C0CFA" w14:textId="77777777" w:rsidR="00DC7786" w:rsidRDefault="00DC77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42EAE7" w14:textId="77777777" w:rsidR="000F3FD2" w:rsidRDefault="000F3F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F1045F" w14:textId="77777777" w:rsidR="000F3FD2" w:rsidRDefault="000F3FD2" w:rsidP="000F3FD2">
    <w:pPr>
      <w:pStyle w:val="bpuHeadSpon"/>
    </w:pPr>
    <w:r>
      <w:t>P.L. 2021, CHAPTER 450</w:t>
    </w:r>
  </w:p>
  <w:p w14:paraId="666E05D1" w14:textId="69311C59" w:rsidR="00A5061A" w:rsidRDefault="00A5061A" w:rsidP="000F3FD2">
    <w:pPr>
      <w:pStyle w:val="bpuHeadSpon"/>
    </w:pPr>
    <w:r>
      <w:fldChar w:fldCharType="begin"/>
    </w:r>
    <w:r>
      <w:instrText xml:space="preserve"> PAGE  \* MERGEFORMAT </w:instrText>
    </w:r>
    <w:r>
      <w:fldChar w:fldCharType="separate"/>
    </w:r>
    <w:r w:rsidR="000F3FD2">
      <w:rPr>
        <w:noProof/>
      </w:rPr>
      <w:t>2</w:t>
    </w:r>
    <w:r>
      <w:fldChar w:fldCharType="end"/>
    </w:r>
  </w:p>
  <w:p w14:paraId="25E21771" w14:textId="77777777" w:rsidR="00A5061A" w:rsidRDefault="00A5061A" w:rsidP="000F3FD2">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19BB84" w14:textId="77777777" w:rsidR="000F3FD2" w:rsidRDefault="000F3FD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7786"/>
    <w:rsid w:val="00002BEA"/>
    <w:rsid w:val="000051BD"/>
    <w:rsid w:val="000160A5"/>
    <w:rsid w:val="0002335B"/>
    <w:rsid w:val="0003549A"/>
    <w:rsid w:val="000367AE"/>
    <w:rsid w:val="00036F6E"/>
    <w:rsid w:val="00043B22"/>
    <w:rsid w:val="00054975"/>
    <w:rsid w:val="00057D20"/>
    <w:rsid w:val="0006197C"/>
    <w:rsid w:val="0006281F"/>
    <w:rsid w:val="0008141C"/>
    <w:rsid w:val="00082574"/>
    <w:rsid w:val="00094A55"/>
    <w:rsid w:val="000A19CC"/>
    <w:rsid w:val="000A44A7"/>
    <w:rsid w:val="000A5E3D"/>
    <w:rsid w:val="000B1054"/>
    <w:rsid w:val="000B3411"/>
    <w:rsid w:val="000B49EE"/>
    <w:rsid w:val="000C054C"/>
    <w:rsid w:val="000C12C2"/>
    <w:rsid w:val="000D11AF"/>
    <w:rsid w:val="000D3E6C"/>
    <w:rsid w:val="000D6255"/>
    <w:rsid w:val="000D6262"/>
    <w:rsid w:val="000D7B4A"/>
    <w:rsid w:val="000E05DD"/>
    <w:rsid w:val="000E1D15"/>
    <w:rsid w:val="000E4006"/>
    <w:rsid w:val="000F3DA2"/>
    <w:rsid w:val="000F3FD2"/>
    <w:rsid w:val="000F5FDE"/>
    <w:rsid w:val="000F7466"/>
    <w:rsid w:val="0013000E"/>
    <w:rsid w:val="00133F81"/>
    <w:rsid w:val="00135943"/>
    <w:rsid w:val="001645FB"/>
    <w:rsid w:val="00167D95"/>
    <w:rsid w:val="00170D26"/>
    <w:rsid w:val="00173D2B"/>
    <w:rsid w:val="00181676"/>
    <w:rsid w:val="00182202"/>
    <w:rsid w:val="00183603"/>
    <w:rsid w:val="00194BA1"/>
    <w:rsid w:val="00194E78"/>
    <w:rsid w:val="0019707B"/>
    <w:rsid w:val="00197E8B"/>
    <w:rsid w:val="00197FA4"/>
    <w:rsid w:val="001A161A"/>
    <w:rsid w:val="001A3B79"/>
    <w:rsid w:val="001A66B6"/>
    <w:rsid w:val="001B4716"/>
    <w:rsid w:val="001B4EA4"/>
    <w:rsid w:val="001C1AC3"/>
    <w:rsid w:val="001C4024"/>
    <w:rsid w:val="001C7C52"/>
    <w:rsid w:val="001D25F3"/>
    <w:rsid w:val="001E15F1"/>
    <w:rsid w:val="001E16FA"/>
    <w:rsid w:val="001E6213"/>
    <w:rsid w:val="001F14C7"/>
    <w:rsid w:val="001F509F"/>
    <w:rsid w:val="001F7405"/>
    <w:rsid w:val="002032D6"/>
    <w:rsid w:val="00205533"/>
    <w:rsid w:val="00206ADA"/>
    <w:rsid w:val="00212B8D"/>
    <w:rsid w:val="00222983"/>
    <w:rsid w:val="00235BED"/>
    <w:rsid w:val="002370D0"/>
    <w:rsid w:val="002512B9"/>
    <w:rsid w:val="00255958"/>
    <w:rsid w:val="002574F2"/>
    <w:rsid w:val="00257FA2"/>
    <w:rsid w:val="0026574A"/>
    <w:rsid w:val="002660BB"/>
    <w:rsid w:val="00271D3E"/>
    <w:rsid w:val="002720E8"/>
    <w:rsid w:val="00275293"/>
    <w:rsid w:val="002776B0"/>
    <w:rsid w:val="00286C7E"/>
    <w:rsid w:val="00291F9C"/>
    <w:rsid w:val="002A1029"/>
    <w:rsid w:val="002A3A1A"/>
    <w:rsid w:val="002A3AFC"/>
    <w:rsid w:val="002A4692"/>
    <w:rsid w:val="002A51BA"/>
    <w:rsid w:val="002B2E26"/>
    <w:rsid w:val="002B3FE6"/>
    <w:rsid w:val="002C2D81"/>
    <w:rsid w:val="002C461E"/>
    <w:rsid w:val="002C6CEC"/>
    <w:rsid w:val="002D4B5D"/>
    <w:rsid w:val="002D6ADB"/>
    <w:rsid w:val="002E09CE"/>
    <w:rsid w:val="002E69D1"/>
    <w:rsid w:val="002F3BA6"/>
    <w:rsid w:val="002F461A"/>
    <w:rsid w:val="00315320"/>
    <w:rsid w:val="00325776"/>
    <w:rsid w:val="00325E27"/>
    <w:rsid w:val="0032795A"/>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27B"/>
    <w:rsid w:val="00382F1F"/>
    <w:rsid w:val="003834FF"/>
    <w:rsid w:val="00391DA4"/>
    <w:rsid w:val="003A3C64"/>
    <w:rsid w:val="003A3F83"/>
    <w:rsid w:val="003C43EF"/>
    <w:rsid w:val="003C586F"/>
    <w:rsid w:val="003C5A6B"/>
    <w:rsid w:val="003C7FB2"/>
    <w:rsid w:val="003D24DE"/>
    <w:rsid w:val="003E26D4"/>
    <w:rsid w:val="003E47BA"/>
    <w:rsid w:val="003F3B37"/>
    <w:rsid w:val="0040195A"/>
    <w:rsid w:val="00402DC0"/>
    <w:rsid w:val="00416C4B"/>
    <w:rsid w:val="0041751E"/>
    <w:rsid w:val="004211E5"/>
    <w:rsid w:val="00422091"/>
    <w:rsid w:val="00423A3F"/>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57FA"/>
    <w:rsid w:val="00496EE5"/>
    <w:rsid w:val="00497037"/>
    <w:rsid w:val="004A3009"/>
    <w:rsid w:val="004A6940"/>
    <w:rsid w:val="004A77A4"/>
    <w:rsid w:val="004B1145"/>
    <w:rsid w:val="004C742C"/>
    <w:rsid w:val="004E1F3E"/>
    <w:rsid w:val="004F21BD"/>
    <w:rsid w:val="004F4F1D"/>
    <w:rsid w:val="004F74DD"/>
    <w:rsid w:val="00501317"/>
    <w:rsid w:val="0050495C"/>
    <w:rsid w:val="00505DC9"/>
    <w:rsid w:val="00506E1E"/>
    <w:rsid w:val="00513C81"/>
    <w:rsid w:val="00515391"/>
    <w:rsid w:val="00523F1D"/>
    <w:rsid w:val="00527BFB"/>
    <w:rsid w:val="00532A32"/>
    <w:rsid w:val="0053434F"/>
    <w:rsid w:val="00540B0B"/>
    <w:rsid w:val="0054460F"/>
    <w:rsid w:val="005536CD"/>
    <w:rsid w:val="00554051"/>
    <w:rsid w:val="00557240"/>
    <w:rsid w:val="005651F3"/>
    <w:rsid w:val="00572184"/>
    <w:rsid w:val="00577A15"/>
    <w:rsid w:val="00580533"/>
    <w:rsid w:val="0059131D"/>
    <w:rsid w:val="005B3F92"/>
    <w:rsid w:val="005B479C"/>
    <w:rsid w:val="005B561E"/>
    <w:rsid w:val="005C0397"/>
    <w:rsid w:val="005C07E4"/>
    <w:rsid w:val="005C2124"/>
    <w:rsid w:val="005C336F"/>
    <w:rsid w:val="005C7F3C"/>
    <w:rsid w:val="005E017C"/>
    <w:rsid w:val="005E50C6"/>
    <w:rsid w:val="005F2A97"/>
    <w:rsid w:val="005F399B"/>
    <w:rsid w:val="006019F8"/>
    <w:rsid w:val="00605B20"/>
    <w:rsid w:val="00607C8D"/>
    <w:rsid w:val="0061156F"/>
    <w:rsid w:val="00613FF5"/>
    <w:rsid w:val="006155A8"/>
    <w:rsid w:val="00621B94"/>
    <w:rsid w:val="00621F0E"/>
    <w:rsid w:val="00626239"/>
    <w:rsid w:val="00635316"/>
    <w:rsid w:val="00635449"/>
    <w:rsid w:val="006378C5"/>
    <w:rsid w:val="0064233E"/>
    <w:rsid w:val="00643008"/>
    <w:rsid w:val="00645E6A"/>
    <w:rsid w:val="00665CBC"/>
    <w:rsid w:val="00667A5C"/>
    <w:rsid w:val="00671353"/>
    <w:rsid w:val="0067443D"/>
    <w:rsid w:val="006771FC"/>
    <w:rsid w:val="00677316"/>
    <w:rsid w:val="00686AEB"/>
    <w:rsid w:val="00697264"/>
    <w:rsid w:val="006A7A7F"/>
    <w:rsid w:val="006B08F6"/>
    <w:rsid w:val="006B7897"/>
    <w:rsid w:val="006B7FA7"/>
    <w:rsid w:val="006C003A"/>
    <w:rsid w:val="006C086A"/>
    <w:rsid w:val="006C21C1"/>
    <w:rsid w:val="006C5275"/>
    <w:rsid w:val="006C7327"/>
    <w:rsid w:val="006D00E5"/>
    <w:rsid w:val="006D791B"/>
    <w:rsid w:val="006E2895"/>
    <w:rsid w:val="006F180D"/>
    <w:rsid w:val="006F4334"/>
    <w:rsid w:val="006F47AF"/>
    <w:rsid w:val="006F6B8A"/>
    <w:rsid w:val="00707CD3"/>
    <w:rsid w:val="00716BB9"/>
    <w:rsid w:val="007256D1"/>
    <w:rsid w:val="00726CF0"/>
    <w:rsid w:val="007279FD"/>
    <w:rsid w:val="00742C2D"/>
    <w:rsid w:val="00747F4A"/>
    <w:rsid w:val="007502CB"/>
    <w:rsid w:val="00752D79"/>
    <w:rsid w:val="00752E20"/>
    <w:rsid w:val="00756EDE"/>
    <w:rsid w:val="00766DB8"/>
    <w:rsid w:val="00781B4D"/>
    <w:rsid w:val="007824BF"/>
    <w:rsid w:val="00783B8D"/>
    <w:rsid w:val="0079470A"/>
    <w:rsid w:val="00794B94"/>
    <w:rsid w:val="00794BD4"/>
    <w:rsid w:val="007963D4"/>
    <w:rsid w:val="007A2F73"/>
    <w:rsid w:val="007A3061"/>
    <w:rsid w:val="007A5A0B"/>
    <w:rsid w:val="007C0E14"/>
    <w:rsid w:val="007C7DE4"/>
    <w:rsid w:val="007D40CB"/>
    <w:rsid w:val="007D5796"/>
    <w:rsid w:val="007D59C0"/>
    <w:rsid w:val="007D7D9C"/>
    <w:rsid w:val="007F485D"/>
    <w:rsid w:val="007F6050"/>
    <w:rsid w:val="00803649"/>
    <w:rsid w:val="00813627"/>
    <w:rsid w:val="00827012"/>
    <w:rsid w:val="00832816"/>
    <w:rsid w:val="00837109"/>
    <w:rsid w:val="00840365"/>
    <w:rsid w:val="008406A3"/>
    <w:rsid w:val="00841D2C"/>
    <w:rsid w:val="00845F3C"/>
    <w:rsid w:val="008461B8"/>
    <w:rsid w:val="008462F1"/>
    <w:rsid w:val="00847EF1"/>
    <w:rsid w:val="008538FA"/>
    <w:rsid w:val="008573B0"/>
    <w:rsid w:val="00857EA9"/>
    <w:rsid w:val="00866563"/>
    <w:rsid w:val="00867AC2"/>
    <w:rsid w:val="0087056E"/>
    <w:rsid w:val="00875402"/>
    <w:rsid w:val="00880713"/>
    <w:rsid w:val="00884D51"/>
    <w:rsid w:val="00886F7F"/>
    <w:rsid w:val="008916EC"/>
    <w:rsid w:val="00891E4F"/>
    <w:rsid w:val="008A31C5"/>
    <w:rsid w:val="008A4F9A"/>
    <w:rsid w:val="008B2850"/>
    <w:rsid w:val="008C79B3"/>
    <w:rsid w:val="008D77BD"/>
    <w:rsid w:val="008E454C"/>
    <w:rsid w:val="008E7F62"/>
    <w:rsid w:val="008F1E5A"/>
    <w:rsid w:val="00901BDA"/>
    <w:rsid w:val="009121D8"/>
    <w:rsid w:val="00916F7A"/>
    <w:rsid w:val="00917FE3"/>
    <w:rsid w:val="009318C7"/>
    <w:rsid w:val="00931C09"/>
    <w:rsid w:val="009348C2"/>
    <w:rsid w:val="00937674"/>
    <w:rsid w:val="009440D0"/>
    <w:rsid w:val="00946932"/>
    <w:rsid w:val="00951280"/>
    <w:rsid w:val="009523A3"/>
    <w:rsid w:val="00956A61"/>
    <w:rsid w:val="00960958"/>
    <w:rsid w:val="00963A46"/>
    <w:rsid w:val="00966A3E"/>
    <w:rsid w:val="00971493"/>
    <w:rsid w:val="00971AD9"/>
    <w:rsid w:val="00973069"/>
    <w:rsid w:val="00973523"/>
    <w:rsid w:val="00980766"/>
    <w:rsid w:val="0098359F"/>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41D5"/>
    <w:rsid w:val="009D7934"/>
    <w:rsid w:val="009D7CCF"/>
    <w:rsid w:val="009E5961"/>
    <w:rsid w:val="009F4FAC"/>
    <w:rsid w:val="009F7110"/>
    <w:rsid w:val="00A017C0"/>
    <w:rsid w:val="00A024FA"/>
    <w:rsid w:val="00A11228"/>
    <w:rsid w:val="00A13C6B"/>
    <w:rsid w:val="00A2141F"/>
    <w:rsid w:val="00A222C2"/>
    <w:rsid w:val="00A23189"/>
    <w:rsid w:val="00A305D6"/>
    <w:rsid w:val="00A342C4"/>
    <w:rsid w:val="00A5061A"/>
    <w:rsid w:val="00A50F6B"/>
    <w:rsid w:val="00A52237"/>
    <w:rsid w:val="00A551D6"/>
    <w:rsid w:val="00A6251B"/>
    <w:rsid w:val="00A6754E"/>
    <w:rsid w:val="00A67AD3"/>
    <w:rsid w:val="00A70F58"/>
    <w:rsid w:val="00A72987"/>
    <w:rsid w:val="00A7346B"/>
    <w:rsid w:val="00A84C4F"/>
    <w:rsid w:val="00A932A1"/>
    <w:rsid w:val="00A96E06"/>
    <w:rsid w:val="00AA6197"/>
    <w:rsid w:val="00AA6C70"/>
    <w:rsid w:val="00AB16FD"/>
    <w:rsid w:val="00AB3BF0"/>
    <w:rsid w:val="00AB4813"/>
    <w:rsid w:val="00AC4DD1"/>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2C30"/>
    <w:rsid w:val="00B732BC"/>
    <w:rsid w:val="00B822FE"/>
    <w:rsid w:val="00B86E4E"/>
    <w:rsid w:val="00B90E33"/>
    <w:rsid w:val="00B9327B"/>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0827"/>
    <w:rsid w:val="00C04F4D"/>
    <w:rsid w:val="00C052C2"/>
    <w:rsid w:val="00C12E48"/>
    <w:rsid w:val="00C12E80"/>
    <w:rsid w:val="00C13BB7"/>
    <w:rsid w:val="00C13D14"/>
    <w:rsid w:val="00C15F53"/>
    <w:rsid w:val="00C22802"/>
    <w:rsid w:val="00C23F09"/>
    <w:rsid w:val="00C25356"/>
    <w:rsid w:val="00C328D0"/>
    <w:rsid w:val="00C46BC1"/>
    <w:rsid w:val="00C5235F"/>
    <w:rsid w:val="00C54CE2"/>
    <w:rsid w:val="00C55269"/>
    <w:rsid w:val="00C66BF3"/>
    <w:rsid w:val="00C70140"/>
    <w:rsid w:val="00C73CA7"/>
    <w:rsid w:val="00C822F6"/>
    <w:rsid w:val="00C82AC2"/>
    <w:rsid w:val="00C8456C"/>
    <w:rsid w:val="00C8577A"/>
    <w:rsid w:val="00C91E19"/>
    <w:rsid w:val="00C92402"/>
    <w:rsid w:val="00C92867"/>
    <w:rsid w:val="00C93B93"/>
    <w:rsid w:val="00C95A46"/>
    <w:rsid w:val="00CA037D"/>
    <w:rsid w:val="00CA0837"/>
    <w:rsid w:val="00CA2442"/>
    <w:rsid w:val="00CA4725"/>
    <w:rsid w:val="00CB0DA6"/>
    <w:rsid w:val="00CB6246"/>
    <w:rsid w:val="00CC0A17"/>
    <w:rsid w:val="00CD0F93"/>
    <w:rsid w:val="00CD1BD1"/>
    <w:rsid w:val="00CD528D"/>
    <w:rsid w:val="00CE2E86"/>
    <w:rsid w:val="00CE78BF"/>
    <w:rsid w:val="00CF65EB"/>
    <w:rsid w:val="00CF72AD"/>
    <w:rsid w:val="00D02441"/>
    <w:rsid w:val="00D039F4"/>
    <w:rsid w:val="00D10496"/>
    <w:rsid w:val="00D11173"/>
    <w:rsid w:val="00D1215F"/>
    <w:rsid w:val="00D16561"/>
    <w:rsid w:val="00D17FF8"/>
    <w:rsid w:val="00D268AC"/>
    <w:rsid w:val="00D27FF3"/>
    <w:rsid w:val="00D3238B"/>
    <w:rsid w:val="00D343D0"/>
    <w:rsid w:val="00D3664D"/>
    <w:rsid w:val="00D44E56"/>
    <w:rsid w:val="00D50001"/>
    <w:rsid w:val="00D500E9"/>
    <w:rsid w:val="00D507BC"/>
    <w:rsid w:val="00D57378"/>
    <w:rsid w:val="00D6090A"/>
    <w:rsid w:val="00D6158F"/>
    <w:rsid w:val="00D62FA3"/>
    <w:rsid w:val="00D63B6F"/>
    <w:rsid w:val="00D64A90"/>
    <w:rsid w:val="00D64ED8"/>
    <w:rsid w:val="00D9410B"/>
    <w:rsid w:val="00D95C77"/>
    <w:rsid w:val="00D9695B"/>
    <w:rsid w:val="00DA2417"/>
    <w:rsid w:val="00DA377E"/>
    <w:rsid w:val="00DA5585"/>
    <w:rsid w:val="00DB02AC"/>
    <w:rsid w:val="00DB6AA2"/>
    <w:rsid w:val="00DB6D04"/>
    <w:rsid w:val="00DC7786"/>
    <w:rsid w:val="00DE10D1"/>
    <w:rsid w:val="00DE2514"/>
    <w:rsid w:val="00DE6851"/>
    <w:rsid w:val="00DF03EE"/>
    <w:rsid w:val="00E01B71"/>
    <w:rsid w:val="00E04D46"/>
    <w:rsid w:val="00E05CC9"/>
    <w:rsid w:val="00E15573"/>
    <w:rsid w:val="00E25A5B"/>
    <w:rsid w:val="00E36786"/>
    <w:rsid w:val="00E373C7"/>
    <w:rsid w:val="00E40916"/>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134D"/>
    <w:rsid w:val="00EC5281"/>
    <w:rsid w:val="00EC791D"/>
    <w:rsid w:val="00EC7CA6"/>
    <w:rsid w:val="00ED3C5D"/>
    <w:rsid w:val="00ED4553"/>
    <w:rsid w:val="00ED6BDF"/>
    <w:rsid w:val="00F00D08"/>
    <w:rsid w:val="00F15583"/>
    <w:rsid w:val="00F200EE"/>
    <w:rsid w:val="00F22481"/>
    <w:rsid w:val="00F2542E"/>
    <w:rsid w:val="00F27278"/>
    <w:rsid w:val="00F344E3"/>
    <w:rsid w:val="00F34D58"/>
    <w:rsid w:val="00F41A9D"/>
    <w:rsid w:val="00F440F9"/>
    <w:rsid w:val="00F44314"/>
    <w:rsid w:val="00F46166"/>
    <w:rsid w:val="00F54B9C"/>
    <w:rsid w:val="00F56E96"/>
    <w:rsid w:val="00F573DD"/>
    <w:rsid w:val="00F61E59"/>
    <w:rsid w:val="00F63D99"/>
    <w:rsid w:val="00F6426B"/>
    <w:rsid w:val="00F64EB2"/>
    <w:rsid w:val="00F709B3"/>
    <w:rsid w:val="00F71A5E"/>
    <w:rsid w:val="00F7291B"/>
    <w:rsid w:val="00F94016"/>
    <w:rsid w:val="00FA0AFC"/>
    <w:rsid w:val="00FA1C82"/>
    <w:rsid w:val="00FA2ED1"/>
    <w:rsid w:val="00FA4A52"/>
    <w:rsid w:val="00FB4045"/>
    <w:rsid w:val="00FB4D8E"/>
    <w:rsid w:val="00FC0D0A"/>
    <w:rsid w:val="00FC1B0B"/>
    <w:rsid w:val="00FD2F97"/>
    <w:rsid w:val="00FD7B2B"/>
    <w:rsid w:val="00FE249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07057CE6"/>
  <w15:docId w15:val="{4D6E874A-2FD8-46D3-B030-B7B43D006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8227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8227B"/>
    <w:rPr>
      <w:rFonts w:ascii="Segoe UI" w:hAnsi="Segoe UI" w:cs="Segoe UI"/>
      <w:spacing w:val="4"/>
      <w:sz w:val="18"/>
      <w:szCs w:val="18"/>
    </w:rPr>
  </w:style>
  <w:style w:type="character" w:styleId="LineNumber">
    <w:name w:val="line number"/>
    <w:basedOn w:val="DefaultParagraphFont"/>
    <w:semiHidden/>
    <w:unhideWhenUsed/>
    <w:rsid w:val="00FE24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1C927D-91C9-4157-BADA-F639276F28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513</Words>
  <Characters>2620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P.L. 2021, c.450</vt:lpstr>
    </vt:vector>
  </TitlesOfParts>
  <Manager>Benning, Kelly</Manager>
  <Company>NJ Office of Legislative Services</Company>
  <LinksUpToDate>false</LinksUpToDate>
  <CharactersWithSpaces>3138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c.450 (A4002 2R)</dc:title>
  <dc:subject/>
  <dc:creator>Assembly, No. 4002 (Second Reprint)</dc:creator>
  <cp:keywords>A4002|1| ||0|0|!|0|</cp:keywords>
  <dc:description>INTRODUCED MAY 4, 2020_x000d_
AMENDED JUNE 3, 2021_x000d_
AMENDED BY CV NOVEMBER 8, 2021</dc:description>
  <cp:lastModifiedBy>Franks, Denise</cp:lastModifiedBy>
  <cp:revision>2</cp:revision>
  <cp:lastPrinted>2021-11-09T19:06:00Z</cp:lastPrinted>
  <dcterms:created xsi:type="dcterms:W3CDTF">2022-04-04T15:44:00Z</dcterms:created>
  <dcterms:modified xsi:type="dcterms:W3CDTF">2022-04-04T15:44:00Z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c.450</vt:lpwstr>
  </property>
</Properties>
</file>