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9AE" w:rsidRDefault="003649AE" w:rsidP="003649AE">
      <w:pPr>
        <w:pStyle w:val="bpuBill"/>
      </w:pPr>
      <w:bookmarkStart w:id="0" w:name="bpuFrontPg"/>
      <w:bookmarkEnd w:id="0"/>
      <w:r>
        <w:t xml:space="preserve">SENATE, No. 120 </w:t>
      </w:r>
    </w:p>
    <w:p w:rsidR="003649AE" w:rsidRPr="003649AE" w:rsidRDefault="003649AE" w:rsidP="003649A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4126136" r:id="rId8"/>
        </w:object>
      </w:r>
    </w:p>
    <w:p w:rsidR="003649AE" w:rsidRDefault="003649AE" w:rsidP="003649AE">
      <w:pPr>
        <w:pStyle w:val="bpuState"/>
      </w:pPr>
      <w:r>
        <w:t>STATE OF NEW JERSEY</w:t>
      </w:r>
    </w:p>
    <w:p w:rsidR="003649AE" w:rsidRDefault="003649AE" w:rsidP="003649AE">
      <w:pPr>
        <w:pStyle w:val="bpuLegislature"/>
      </w:pPr>
      <w:r>
        <w:t>219th LEGISLATURE</w:t>
      </w:r>
    </w:p>
    <w:p w:rsidR="003649AE" w:rsidRDefault="003649AE" w:rsidP="003649AE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4126137" r:id="rId9"/>
        </w:object>
      </w:r>
      <w:r>
        <w:t xml:space="preserve">  </w:t>
      </w:r>
    </w:p>
    <w:p w:rsidR="003649AE" w:rsidRDefault="003649AE" w:rsidP="003649AE">
      <w:pPr>
        <w:pStyle w:val="bpuIntro"/>
      </w:pPr>
      <w:r>
        <w:t>PRE-FILED FOR INTRODUCTION IN THE 2020 SESSION</w:t>
      </w:r>
    </w:p>
    <w:p w:rsidR="003649AE" w:rsidRDefault="003649AE" w:rsidP="003649AE">
      <w:pPr>
        <w:pStyle w:val="bpuIntro"/>
      </w:pPr>
    </w:p>
    <w:p w:rsidR="003649AE" w:rsidRDefault="003649AE" w:rsidP="003649AE">
      <w:pPr>
        <w:pStyle w:val="bpuIntro"/>
        <w:sectPr w:rsidR="003649AE" w:rsidSect="0048522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649AE" w:rsidRDefault="003649AE" w:rsidP="003649AE">
      <w:pPr>
        <w:pStyle w:val="bpuIntro"/>
      </w:pPr>
    </w:p>
    <w:p w:rsidR="003649AE" w:rsidRDefault="003649AE" w:rsidP="003649AE">
      <w:pPr>
        <w:pStyle w:val="bpuSponsor"/>
      </w:pPr>
      <w:r>
        <w:t>Sponsored by:</w:t>
      </w:r>
    </w:p>
    <w:p w:rsidR="003649AE" w:rsidRDefault="003649AE" w:rsidP="003649AE">
      <w:pPr>
        <w:pStyle w:val="bpuSponsor"/>
      </w:pPr>
      <w:r>
        <w:t>Senator  JAMES W. HOLZAPFEL</w:t>
      </w:r>
    </w:p>
    <w:p w:rsidR="003649AE" w:rsidRDefault="003649AE" w:rsidP="003649AE">
      <w:pPr>
        <w:pStyle w:val="bpuSponsor"/>
      </w:pPr>
      <w:r>
        <w:t>District 10 (Ocean)</w:t>
      </w:r>
    </w:p>
    <w:p w:rsidR="003649AE" w:rsidRDefault="0048522E" w:rsidP="0048522E">
      <w:pPr>
        <w:pStyle w:val="bpuSponsor"/>
      </w:pPr>
      <w:r>
        <w:t>Senator  ANTHONY M. BUCCO</w:t>
      </w:r>
    </w:p>
    <w:p w:rsidR="0048522E" w:rsidRDefault="0048522E" w:rsidP="0048522E">
      <w:pPr>
        <w:pStyle w:val="bpuSponsor"/>
      </w:pPr>
      <w:r>
        <w:t>District 25 (Morris and Somerset)</w:t>
      </w:r>
    </w:p>
    <w:p w:rsidR="0048522E" w:rsidRPr="0048522E" w:rsidRDefault="0048522E" w:rsidP="0048522E">
      <w:pPr>
        <w:pStyle w:val="bpuSponsor"/>
      </w:pPr>
    </w:p>
    <w:p w:rsidR="003649AE" w:rsidRDefault="001E13CC" w:rsidP="001E13CC">
      <w:pPr>
        <w:pStyle w:val="bpuSponsor"/>
      </w:pPr>
      <w:bookmarkStart w:id="1" w:name="_GoBack"/>
      <w:bookmarkEnd w:id="1"/>
      <w:r>
        <w:t>Co-Sponsored by:</w:t>
      </w:r>
    </w:p>
    <w:p w:rsidR="001E13CC" w:rsidRDefault="001E13CC" w:rsidP="001E13CC">
      <w:pPr>
        <w:pStyle w:val="bpuSponsor"/>
      </w:pPr>
      <w:r w:rsidRPr="001E13CC">
        <w:t xml:space="preserve">Senators Cunningham, Ruiz and </w:t>
      </w:r>
      <w:proofErr w:type="spellStart"/>
      <w:r w:rsidRPr="001E13CC">
        <w:t>O'Scanlon</w:t>
      </w:r>
      <w:proofErr w:type="spellEnd"/>
    </w:p>
    <w:p w:rsidR="001E13CC" w:rsidRPr="001E13CC" w:rsidRDefault="001E13CC" w:rsidP="001E13CC"/>
    <w:p w:rsidR="003649AE" w:rsidRDefault="003649AE" w:rsidP="003649AE">
      <w:pPr>
        <w:pStyle w:val="bpuSponsor"/>
      </w:pPr>
    </w:p>
    <w:p w:rsidR="003649AE" w:rsidRDefault="003649AE" w:rsidP="003649AE"/>
    <w:p w:rsidR="003649AE" w:rsidRPr="003649AE" w:rsidRDefault="003649AE" w:rsidP="003649AE"/>
    <w:p w:rsidR="003649AE" w:rsidRDefault="003649AE" w:rsidP="003649AE">
      <w:pPr>
        <w:pStyle w:val="bpuSponsor"/>
      </w:pPr>
      <w:r>
        <w:t>SYNOPSIS</w:t>
      </w:r>
    </w:p>
    <w:p w:rsidR="003649AE" w:rsidRDefault="003649AE" w:rsidP="003649AE">
      <w:pPr>
        <w:pStyle w:val="bpuNormText"/>
      </w:pPr>
      <w:r>
        <w:tab/>
        <w:t xml:space="preserve">Increases criminal penalties if leaving loaded firearm within easy access of minor results in injury or death. </w:t>
      </w:r>
    </w:p>
    <w:p w:rsidR="003649AE" w:rsidRDefault="003649AE" w:rsidP="003649AE">
      <w:pPr>
        <w:pStyle w:val="bpuNormText"/>
      </w:pPr>
    </w:p>
    <w:p w:rsidR="003649AE" w:rsidRDefault="003649AE" w:rsidP="003649AE">
      <w:pPr>
        <w:pStyle w:val="bpuSponsor"/>
      </w:pPr>
      <w:r>
        <w:t xml:space="preserve">CURRENT VERSION OF TEXT </w:t>
      </w:r>
    </w:p>
    <w:p w:rsidR="003649AE" w:rsidRDefault="003649AE" w:rsidP="003649AE">
      <w:pPr>
        <w:pStyle w:val="bpuNormText"/>
      </w:pPr>
      <w:r>
        <w:tab/>
        <w:t>Introduced Pending Technical Review by Legislative Counsel.</w:t>
      </w:r>
    </w:p>
    <w:p w:rsidR="003649AE" w:rsidRDefault="003649AE" w:rsidP="003649A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649AE" w:rsidRDefault="003649A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649AE" w:rsidSect="003649A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2712F" w:rsidRPr="009D7CCF" w:rsidRDefault="0002712F" w:rsidP="0002712F">
      <w:pPr>
        <w:pStyle w:val="HangingAnAct"/>
      </w:pPr>
      <w:r w:rsidRPr="0002712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firearms and amending </w:t>
      </w:r>
      <w:r>
        <w:t xml:space="preserve">P.L.1991, c.397.  </w:t>
      </w:r>
    </w:p>
    <w:p w:rsidR="0002712F" w:rsidRPr="00D71D68" w:rsidRDefault="0002712F" w:rsidP="0002712F"/>
    <w:p w:rsidR="0002712F" w:rsidRPr="00AA7880" w:rsidRDefault="0002712F" w:rsidP="0002712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2712F" w:rsidRDefault="0002712F" w:rsidP="0002712F"/>
    <w:p w:rsidR="0002712F" w:rsidRDefault="0002712F" w:rsidP="0002712F">
      <w:r>
        <w:tab/>
        <w:t>1.</w:t>
      </w:r>
      <w:r>
        <w:tab/>
        <w:t>Section 1 of P.L.1991, c.397 (C.2C:58-15) is amended to read as follows:</w:t>
      </w:r>
    </w:p>
    <w:p w:rsidR="0002712F" w:rsidRDefault="0002712F" w:rsidP="0002712F">
      <w:r>
        <w:tab/>
        <w:t>1.</w:t>
      </w:r>
      <w:r>
        <w:tab/>
        <w:t>a.  A</w:t>
      </w:r>
      <w:r>
        <w:rPr>
          <w:rFonts w:ascii="Albertus Extra Bold" w:hAnsi="Albertus Extra Bold"/>
          <w:b/>
        </w:rPr>
        <w:t xml:space="preserve"> </w:t>
      </w:r>
      <w:r>
        <w:t>person who knows or reasonably should know that a minor is likely to gain access to a loaded firearm at a premises under the person’s control commits a disorderly persons offense if a minor gains access to the firearm, unless the person:</w:t>
      </w:r>
    </w:p>
    <w:p w:rsidR="0002712F" w:rsidRDefault="0002712F" w:rsidP="0002712F">
      <w:r>
        <w:tab/>
        <w:t>(1)</w:t>
      </w:r>
      <w:r>
        <w:tab/>
        <w:t>Stores the firearm in a securely locked box or container;</w:t>
      </w:r>
    </w:p>
    <w:p w:rsidR="0002712F" w:rsidRDefault="0002712F" w:rsidP="0002712F">
      <w:r>
        <w:tab/>
        <w:t>(2)</w:t>
      </w:r>
      <w:r>
        <w:tab/>
        <w:t xml:space="preserve">Stores the firearm in a location which a reasonable person would believe to be secure; or </w:t>
      </w:r>
    </w:p>
    <w:p w:rsidR="0002712F" w:rsidRDefault="0002712F" w:rsidP="0002712F">
      <w:r>
        <w:tab/>
        <w:t>(3)</w:t>
      </w:r>
      <w:r>
        <w:tab/>
        <w:t>Secures the firearm with a trigger lock.</w:t>
      </w:r>
    </w:p>
    <w:p w:rsidR="0002712F" w:rsidRDefault="0002712F" w:rsidP="0002712F">
      <w:r>
        <w:tab/>
        <w:t>b.</w:t>
      </w:r>
      <w:r>
        <w:tab/>
        <w:t>This section shall not apply:</w:t>
      </w:r>
    </w:p>
    <w:p w:rsidR="0002712F" w:rsidRDefault="003649AE" w:rsidP="0002712F">
      <w:r>
        <w:tab/>
        <w:t>(1)</w:t>
      </w:r>
      <w:r>
        <w:tab/>
      </w:r>
      <w:r w:rsidR="0002712F">
        <w:t xml:space="preserve">To activities authorized by section 14 of P.L.1979, c.179, (C.2C:58-6.1), concerning the lawful use of a firearm by a minor; </w:t>
      </w:r>
      <w:r w:rsidR="0002712F" w:rsidRPr="00F32C95">
        <w:rPr>
          <w:rFonts w:ascii="Albertus Extra Bold" w:hAnsi="Albertus Extra Bold"/>
          <w:b/>
        </w:rPr>
        <w:t>[</w:t>
      </w:r>
      <w:r w:rsidR="0002712F">
        <w:t>or</w:t>
      </w:r>
      <w:r w:rsidR="0002712F" w:rsidRPr="00F32C95">
        <w:rPr>
          <w:rFonts w:ascii="Albertus Extra Bold" w:hAnsi="Albertus Extra Bold"/>
          <w:b/>
        </w:rPr>
        <w:t>]</w:t>
      </w:r>
    </w:p>
    <w:p w:rsidR="0002712F" w:rsidRDefault="003649AE" w:rsidP="0002712F">
      <w:pPr>
        <w:rPr>
          <w:u w:val="single"/>
        </w:rPr>
      </w:pPr>
      <w:r>
        <w:tab/>
        <w:t>(2)</w:t>
      </w:r>
      <w:r>
        <w:tab/>
      </w:r>
      <w:r w:rsidR="0002712F">
        <w:t>Under circumstances where a minor obtained a firearm as a result of an unlawful entry by any person</w:t>
      </w:r>
      <w:r w:rsidR="0002712F">
        <w:rPr>
          <w:u w:val="single"/>
        </w:rPr>
        <w:t>; or</w:t>
      </w:r>
    </w:p>
    <w:p w:rsidR="0002712F" w:rsidRDefault="0002712F" w:rsidP="0002712F">
      <w:r>
        <w:tab/>
      </w:r>
      <w:r w:rsidR="003649AE">
        <w:rPr>
          <w:u w:val="single"/>
        </w:rPr>
        <w:t>(3)</w:t>
      </w:r>
      <w:r w:rsidR="003649AE">
        <w:rPr>
          <w:u w:val="single"/>
        </w:rPr>
        <w:tab/>
      </w:r>
      <w:r>
        <w:rPr>
          <w:u w:val="single"/>
        </w:rPr>
        <w:t>Under circumstances where a minor obtained a firearm for the purpose of self-protection pursuant to the provisions of N.J.S.2C:3-4</w:t>
      </w:r>
      <w:r>
        <w:t>.</w:t>
      </w:r>
    </w:p>
    <w:p w:rsidR="0002712F" w:rsidRDefault="0002712F" w:rsidP="0002712F">
      <w:r>
        <w:tab/>
        <w:t>c.</w:t>
      </w:r>
      <w:r>
        <w:tab/>
        <w:t>As used in this act, "minor" means a person under the age of 16.</w:t>
      </w:r>
    </w:p>
    <w:p w:rsidR="0002712F" w:rsidRPr="00845009" w:rsidRDefault="0002712F" w:rsidP="0002712F">
      <w:pPr>
        <w:rPr>
          <w:u w:val="single"/>
        </w:rPr>
      </w:pPr>
      <w:r>
        <w:tab/>
      </w:r>
      <w:r w:rsidRPr="0057648D">
        <w:rPr>
          <w:u w:val="single"/>
        </w:rPr>
        <w:t>d.</w:t>
      </w:r>
      <w:r>
        <w:rPr>
          <w:u w:val="single"/>
        </w:rPr>
        <w:tab/>
      </w:r>
      <w:r w:rsidRPr="0057648D">
        <w:rPr>
          <w:u w:val="single"/>
        </w:rPr>
        <w:t xml:space="preserve">A person </w:t>
      </w:r>
      <w:r>
        <w:rPr>
          <w:u w:val="single"/>
        </w:rPr>
        <w:t xml:space="preserve">who violates this section </w:t>
      </w:r>
      <w:r w:rsidRPr="0057648D">
        <w:rPr>
          <w:u w:val="single"/>
        </w:rPr>
        <w:t xml:space="preserve">is guilty of a crime of the </w:t>
      </w:r>
      <w:r>
        <w:rPr>
          <w:u w:val="single"/>
        </w:rPr>
        <w:t xml:space="preserve">fourth </w:t>
      </w:r>
      <w:r w:rsidRPr="0057648D">
        <w:rPr>
          <w:u w:val="single"/>
        </w:rPr>
        <w:t xml:space="preserve">degree </w:t>
      </w:r>
      <w:r>
        <w:rPr>
          <w:u w:val="single"/>
        </w:rPr>
        <w:t xml:space="preserve">if a minor’s access to a loaded firearm causes the </w:t>
      </w:r>
      <w:r w:rsidRPr="0057648D">
        <w:rPr>
          <w:u w:val="single"/>
        </w:rPr>
        <w:t>bodily injury</w:t>
      </w:r>
      <w:r>
        <w:rPr>
          <w:u w:val="single"/>
        </w:rPr>
        <w:t xml:space="preserve"> of any person.  </w:t>
      </w:r>
      <w:r w:rsidRPr="0057648D">
        <w:rPr>
          <w:u w:val="single"/>
        </w:rPr>
        <w:t xml:space="preserve">A person </w:t>
      </w:r>
      <w:r>
        <w:rPr>
          <w:u w:val="single"/>
        </w:rPr>
        <w:t xml:space="preserve">who violates this section </w:t>
      </w:r>
      <w:r w:rsidRPr="0057648D">
        <w:rPr>
          <w:u w:val="single"/>
        </w:rPr>
        <w:t xml:space="preserve">is guilty of a crime of the </w:t>
      </w:r>
      <w:r>
        <w:rPr>
          <w:u w:val="single"/>
        </w:rPr>
        <w:t xml:space="preserve">third </w:t>
      </w:r>
      <w:r w:rsidRPr="0057648D">
        <w:rPr>
          <w:u w:val="single"/>
        </w:rPr>
        <w:t xml:space="preserve">degree </w:t>
      </w:r>
      <w:r>
        <w:rPr>
          <w:u w:val="single"/>
        </w:rPr>
        <w:t xml:space="preserve">if a minor’s access to a loaded firearm causes the death or serious bodily injury of any person.  For the purposes of this section, “bodily injury” or “serious bodily injury” shall have the same meaning </w:t>
      </w:r>
      <w:r w:rsidRPr="00845009">
        <w:rPr>
          <w:u w:val="single"/>
        </w:rPr>
        <w:t>set forth in N.J.S.2C:11-1.</w:t>
      </w:r>
    </w:p>
    <w:p w:rsidR="0002712F" w:rsidRDefault="0002712F" w:rsidP="0002712F">
      <w:r>
        <w:t>(</w:t>
      </w:r>
      <w:proofErr w:type="spellStart"/>
      <w:r>
        <w:t>cf</w:t>
      </w:r>
      <w:proofErr w:type="spellEnd"/>
      <w:r>
        <w:t xml:space="preserve">: P.L.1991, c.397, s.1)  </w:t>
      </w:r>
    </w:p>
    <w:p w:rsidR="0002712F" w:rsidRPr="00D71D68" w:rsidRDefault="0002712F" w:rsidP="0002712F"/>
    <w:p w:rsidR="0002712F" w:rsidRPr="00E7752C" w:rsidRDefault="0002712F" w:rsidP="0002712F">
      <w:r>
        <w:tab/>
        <w:t>2.</w:t>
      </w:r>
      <w:r>
        <w:tab/>
        <w:t>This act shall take effect immediately.</w:t>
      </w:r>
    </w:p>
    <w:p w:rsidR="0002712F" w:rsidRDefault="0002712F" w:rsidP="0002712F"/>
    <w:p w:rsidR="0002712F" w:rsidRDefault="0002712F" w:rsidP="0002712F"/>
    <w:p w:rsidR="0002712F" w:rsidRDefault="0002712F" w:rsidP="0002712F">
      <w:pPr>
        <w:jc w:val="center"/>
      </w:pPr>
      <w:r>
        <w:t>STATEMENT</w:t>
      </w:r>
    </w:p>
    <w:p w:rsidR="0002712F" w:rsidRDefault="0002712F" w:rsidP="0002712F"/>
    <w:p w:rsidR="0002712F" w:rsidRPr="0045107C" w:rsidRDefault="0002712F" w:rsidP="0002712F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-1440"/>
          <w:tab w:val="left" w:pos="-720"/>
          <w:tab w:val="left" w:pos="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 xml:space="preserve">This bill </w:t>
      </w:r>
      <w:r w:rsidRPr="0045107C">
        <w:rPr>
          <w:spacing w:val="0"/>
          <w:szCs w:val="20"/>
        </w:rPr>
        <w:t>increases the penalties for allowing a minor to gain access to a loaded firearm when such a violation results in bodily injury or death.</w:t>
      </w:r>
    </w:p>
    <w:p w:rsidR="0002712F" w:rsidRPr="0045107C" w:rsidRDefault="0002712F" w:rsidP="0002712F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-1440"/>
          <w:tab w:val="left" w:pos="-720"/>
          <w:tab w:val="left" w:pos="0"/>
          <w:tab w:val="left" w:pos="360"/>
          <w:tab w:val="left" w:pos="1080"/>
        </w:tabs>
        <w:rPr>
          <w:spacing w:val="0"/>
          <w:szCs w:val="20"/>
        </w:rPr>
      </w:pPr>
      <w:r w:rsidRPr="0045107C">
        <w:rPr>
          <w:spacing w:val="0"/>
          <w:szCs w:val="20"/>
        </w:rPr>
        <w:tab/>
        <w:t xml:space="preserve">Under current law, a person who knows or reasonably should know that a minor is likely to gain access to a loaded firearm at a </w:t>
      </w:r>
      <w:r w:rsidRPr="0045107C">
        <w:rPr>
          <w:spacing w:val="0"/>
          <w:szCs w:val="20"/>
        </w:rPr>
        <w:lastRenderedPageBreak/>
        <w:t xml:space="preserve">premises under the person’s control is required to store the firearm in a securely locked box or container or in a location which a reasonable person would believe to be secure, or to secure the firearm with a trigger lock.  A person who fails to follow these precautions is guilty of a disorderly person’s offense if a minor gains access to the loaded firearm.  </w:t>
      </w:r>
    </w:p>
    <w:p w:rsidR="0002712F" w:rsidRPr="0045107C" w:rsidRDefault="0002712F" w:rsidP="0002712F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-1440"/>
          <w:tab w:val="left" w:pos="-720"/>
          <w:tab w:val="left" w:pos="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>This</w:t>
      </w:r>
      <w:r w:rsidRPr="0045107C">
        <w:rPr>
          <w:spacing w:val="0"/>
          <w:szCs w:val="20"/>
        </w:rPr>
        <w:t xml:space="preserve"> bill upgrades this offense to a crime of the fourth degree if a violation of the current law results in bodily injury, and a crime of the third degree if a violation results in serious bodily injury or death.  A disorderly person’s offense is punishable by up to six months imprisonment, a fine of up to $1,000, or both.  A crime of the fourth degree is punishable by up to 18 months imprisonment, a fine of up to $10,000, or both; a crime of the third degree is punishable by three to five years imprisonment, a fine of up to $15,000, or both.</w:t>
      </w:r>
    </w:p>
    <w:p w:rsidR="0002712F" w:rsidRPr="0045107C" w:rsidRDefault="0002712F" w:rsidP="0002712F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45107C">
        <w:rPr>
          <w:spacing w:val="0"/>
          <w:szCs w:val="20"/>
        </w:rPr>
        <w:tab/>
        <w:t>Current law defines “bodily injury” as physical pain, illness or any impairment of physical condition. “Serious bodily injury" is defined as bodily injury which creates a substantial risk of death or which causes serious, permanent disfigurement, or protracted loss or impairment of the function of any bodily member or organ.</w:t>
      </w:r>
    </w:p>
    <w:p w:rsidR="0002712F" w:rsidRPr="0045107C" w:rsidRDefault="0002712F" w:rsidP="0002712F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-1440"/>
          <w:tab w:val="left" w:pos="-720"/>
          <w:tab w:val="left" w:pos="0"/>
          <w:tab w:val="left" w:pos="360"/>
          <w:tab w:val="left" w:pos="1080"/>
        </w:tabs>
        <w:rPr>
          <w:spacing w:val="0"/>
          <w:szCs w:val="20"/>
        </w:rPr>
      </w:pPr>
      <w:r w:rsidRPr="0045107C">
        <w:rPr>
          <w:spacing w:val="0"/>
          <w:szCs w:val="20"/>
        </w:rPr>
        <w:tab/>
        <w:t xml:space="preserve">In addition, under current law, a person is not guilty of the offense of allowing a minor to obtain a loaded firearm under circumstances where: 1) a minor uses a firearm for activities authorized by current law; or 2) a minor obtained a firearm as a result of an unlawful entry by any person.  </w:t>
      </w:r>
      <w:r>
        <w:rPr>
          <w:spacing w:val="0"/>
          <w:szCs w:val="20"/>
        </w:rPr>
        <w:t>T</w:t>
      </w:r>
      <w:r w:rsidRPr="0045107C">
        <w:rPr>
          <w:spacing w:val="0"/>
          <w:szCs w:val="20"/>
        </w:rPr>
        <w:t xml:space="preserve">his bill clarifies that a person also is not guilty of the offense of allowing a minor to obtain a loaded firearm under circumstances where a minor obtained the firearm for the purpose of self-protection, as permitted under current law. </w:t>
      </w:r>
    </w:p>
    <w:sectPr w:rsidR="0002712F" w:rsidRPr="0045107C" w:rsidSect="003649A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1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4BC" w:rsidRDefault="00BD14BC">
      <w:r>
        <w:separator/>
      </w:r>
    </w:p>
  </w:endnote>
  <w:endnote w:type="continuationSeparator" w:id="0">
    <w:p w:rsidR="00BD14BC" w:rsidRDefault="00BD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22E" w:rsidRDefault="0048522E" w:rsidP="0048522E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AE" w:rsidRPr="00921C91" w:rsidRDefault="003649A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649AE" w:rsidRPr="00921C91" w:rsidRDefault="003649AE">
    <w:pPr>
      <w:pStyle w:val="Footer"/>
      <w:rPr>
        <w:szCs w:val="18"/>
      </w:rPr>
    </w:pPr>
  </w:p>
  <w:p w:rsidR="003649AE" w:rsidRPr="00921C91" w:rsidRDefault="003649A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649AE" w:rsidRDefault="003649AE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4BC" w:rsidRDefault="00BD14BC">
      <w:r>
        <w:separator/>
      </w:r>
    </w:p>
  </w:footnote>
  <w:footnote w:type="continuationSeparator" w:id="0">
    <w:p w:rsidR="00BD14BC" w:rsidRDefault="00BD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135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8522E" w:rsidRDefault="0048522E" w:rsidP="0048522E">
    <w:pPr>
      <w:pStyle w:val="bpuHeadSpon"/>
    </w:pPr>
    <w:r w:rsidRPr="003649AE">
      <w:rPr>
        <w:rStyle w:val="bpuHeadSponChar"/>
      </w:rPr>
      <w:t>S120</w:t>
    </w:r>
    <w:r>
      <w:t xml:space="preserve"> HOLZAPFEL, A.M.BUCCO</w:t>
    </w:r>
  </w:p>
  <w:p w:rsidR="003649AE" w:rsidRDefault="003649AE" w:rsidP="003649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3572">
      <w:rPr>
        <w:noProof/>
      </w:rPr>
      <w:t>3</w:t>
    </w:r>
    <w:r>
      <w:fldChar w:fldCharType="end"/>
    </w:r>
  </w:p>
  <w:p w:rsidR="003649AE" w:rsidRPr="00AF575C" w:rsidRDefault="003649AE" w:rsidP="003649A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649AE" w:rsidRDefault="003649AE" w:rsidP="003649AE">
    <w:pPr>
      <w:pStyle w:val="bpuHeadSpon"/>
    </w:pPr>
    <w:r w:rsidRPr="003649AE">
      <w:rPr>
        <w:rStyle w:val="bpuHeadSponChar"/>
      </w:rPr>
      <w:t>S120</w:t>
    </w:r>
    <w:r>
      <w:t xml:space="preserve"> HOLZAPFEL</w:t>
    </w:r>
    <w:r w:rsidR="0048522E">
      <w:t>, A.M.BUCCO</w:t>
    </w:r>
  </w:p>
  <w:p w:rsidR="003649AE" w:rsidRDefault="003649AE" w:rsidP="003649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3572">
      <w:rPr>
        <w:noProof/>
      </w:rPr>
      <w:t>2</w:t>
    </w:r>
    <w:r>
      <w:fldChar w:fldCharType="end"/>
    </w:r>
  </w:p>
  <w:p w:rsidR="003649AE" w:rsidRDefault="003649AE" w:rsidP="003649A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712F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15AF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13CC"/>
    <w:rsid w:val="001E4DBB"/>
    <w:rsid w:val="001F6719"/>
    <w:rsid w:val="001F6DA6"/>
    <w:rsid w:val="00214614"/>
    <w:rsid w:val="002205B7"/>
    <w:rsid w:val="0022067D"/>
    <w:rsid w:val="00231838"/>
    <w:rsid w:val="00231CD0"/>
    <w:rsid w:val="00232C5B"/>
    <w:rsid w:val="002373F3"/>
    <w:rsid w:val="002463CF"/>
    <w:rsid w:val="0024738C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49AE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8522E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3572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39AD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4392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0B00"/>
    <w:rsid w:val="00BC4545"/>
    <w:rsid w:val="00BD14BC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69FF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58E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380B6BEC"/>
  <w15:docId w15:val="{4F2DFA44-2BC2-4280-9D6E-D99774CB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2205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05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4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0E0A0-70B3-457A-A076-093C150C2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730</Words>
  <Characters>3475</Characters>
  <Application>Microsoft Office Word</Application>
  <DocSecurity>0</DocSecurity>
  <Lines>101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S120</vt:lpstr>
    </vt:vector>
  </TitlesOfParts>
  <Manager>R225</Manager>
  <Company>OFFICE of LEGISLATIVE SERVICES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S120</dc:title>
  <dc:creator>Senator  HOLZAPFEL</dc:creator>
  <cp:keywords>S120|3|ER |65|0|0|!|0|</cp:keywords>
  <dc:description>PREFILED 2020</dc:description>
  <cp:lastModifiedBy>Puleo, Roseanne</cp:lastModifiedBy>
  <cp:revision>2</cp:revision>
  <cp:lastPrinted>2020-02-25T13:55:00Z</cp:lastPrinted>
  <dcterms:created xsi:type="dcterms:W3CDTF">2020-02-25T13:55:00Z</dcterms:created>
  <dcterms:modified xsi:type="dcterms:W3CDTF">2020-02-25T13:55:00Z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