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248" w:rsidRDefault="00451248" w:rsidP="00451248">
      <w:pPr>
        <w:pStyle w:val="bpuBill"/>
      </w:pPr>
      <w:bookmarkStart w:id="0" w:name="bpuFrontPg"/>
      <w:bookmarkStart w:id="1" w:name="_GoBack"/>
      <w:bookmarkEnd w:id="0"/>
      <w:bookmarkEnd w:id="1"/>
      <w:r>
        <w:t xml:space="preserve">SENATE, No. 209 </w:t>
      </w:r>
    </w:p>
    <w:p w:rsidR="00451248" w:rsidRPr="00451248" w:rsidRDefault="00451248" w:rsidP="004512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589" r:id="rId8"/>
        </w:object>
      </w:r>
    </w:p>
    <w:p w:rsidR="00451248" w:rsidRDefault="00451248" w:rsidP="00451248">
      <w:pPr>
        <w:pStyle w:val="bpuState"/>
      </w:pPr>
      <w:r>
        <w:t>STATE OF NEW JERSEY</w:t>
      </w:r>
    </w:p>
    <w:p w:rsidR="00451248" w:rsidRDefault="00451248" w:rsidP="00451248">
      <w:pPr>
        <w:pStyle w:val="bpuLegislature"/>
      </w:pPr>
      <w:r>
        <w:t>219th LEGISLATURE</w:t>
      </w:r>
    </w:p>
    <w:p w:rsidR="00451248" w:rsidRDefault="00451248" w:rsidP="00451248">
      <w:pPr>
        <w:pStyle w:val="bpuWpGraphic"/>
      </w:pPr>
      <w:r>
        <w:object w:dxaOrig="8985" w:dyaOrig="255">
          <v:shape id="_x0000_i1026" type="#_x0000_t75" style="width:6in;height:11.5pt" o:ole="">
            <v:imagedata r:id="rId7" o:title=""/>
          </v:shape>
          <o:OLEObject Type="Embed" ProgID="WPWin6.1" ShapeID="_x0000_i1026" DrawAspect="Content" ObjectID="_1637670590" r:id="rId9"/>
        </w:object>
      </w:r>
      <w:r>
        <w:t xml:space="preserve">  </w:t>
      </w:r>
    </w:p>
    <w:p w:rsidR="00451248" w:rsidRDefault="00451248" w:rsidP="00451248">
      <w:pPr>
        <w:pStyle w:val="bpuIntro"/>
      </w:pPr>
      <w:r>
        <w:t>PRE-FILED FOR INTRODUCTION IN THE 2020 SESSION</w:t>
      </w:r>
    </w:p>
    <w:p w:rsidR="00451248" w:rsidRDefault="00451248" w:rsidP="00451248">
      <w:pPr>
        <w:pStyle w:val="bpuIntro"/>
      </w:pPr>
    </w:p>
    <w:p w:rsidR="00451248" w:rsidRDefault="00451248" w:rsidP="00451248">
      <w:pPr>
        <w:pStyle w:val="bpuIntro"/>
        <w:sectPr w:rsidR="00451248" w:rsidSect="00451248">
          <w:headerReference w:type="even" r:id="rId10"/>
          <w:headerReference w:type="default" r:id="rId11"/>
          <w:pgSz w:w="12240" w:h="20160" w:code="5"/>
          <w:pgMar w:top="2160" w:right="1440" w:bottom="1440" w:left="1440" w:header="720" w:footer="720" w:gutter="0"/>
          <w:pgNumType w:start="1"/>
          <w:cols w:space="720"/>
          <w:docGrid w:linePitch="360"/>
        </w:sectPr>
      </w:pPr>
    </w:p>
    <w:p w:rsidR="00451248" w:rsidRDefault="00451248" w:rsidP="00451248">
      <w:pPr>
        <w:pStyle w:val="bpuIntro"/>
      </w:pPr>
    </w:p>
    <w:p w:rsidR="00451248" w:rsidRDefault="00451248" w:rsidP="00451248">
      <w:pPr>
        <w:pStyle w:val="bpuSponsor"/>
      </w:pPr>
      <w:r>
        <w:t>Sponsored by:</w:t>
      </w:r>
    </w:p>
    <w:p w:rsidR="00451248" w:rsidRDefault="00451248" w:rsidP="00451248">
      <w:pPr>
        <w:pStyle w:val="bpuSponsor"/>
      </w:pPr>
      <w:r>
        <w:t>Senator  CHRISTOPHER J. CONNORS</w:t>
      </w:r>
    </w:p>
    <w:p w:rsidR="00451248" w:rsidRDefault="00451248" w:rsidP="00451248">
      <w:pPr>
        <w:pStyle w:val="bpuSponsor"/>
      </w:pPr>
      <w:r>
        <w:t>District 9 (Atlantic, Burlington and Ocean)</w:t>
      </w:r>
    </w:p>
    <w:p w:rsidR="00451248" w:rsidRDefault="00451248" w:rsidP="00451248">
      <w:pPr>
        <w:pStyle w:val="bpuSponsor"/>
      </w:pPr>
    </w:p>
    <w:p w:rsidR="00451248" w:rsidRDefault="00451248" w:rsidP="00451248">
      <w:pPr>
        <w:pStyle w:val="bpuSponsor"/>
      </w:pPr>
    </w:p>
    <w:p w:rsidR="00451248" w:rsidRDefault="00451248" w:rsidP="00451248">
      <w:pPr>
        <w:pStyle w:val="bpuSponsor"/>
      </w:pPr>
    </w:p>
    <w:p w:rsidR="00451248" w:rsidRDefault="00451248" w:rsidP="00451248">
      <w:pPr>
        <w:pStyle w:val="bpuSponsor"/>
      </w:pPr>
    </w:p>
    <w:p w:rsidR="00451248" w:rsidRDefault="00451248" w:rsidP="00451248">
      <w:pPr>
        <w:pStyle w:val="bpuSponsor"/>
      </w:pPr>
      <w:r>
        <w:t>SYNOPSIS</w:t>
      </w:r>
    </w:p>
    <w:p w:rsidR="00451248" w:rsidRDefault="00451248" w:rsidP="00451248">
      <w:pPr>
        <w:pStyle w:val="bpuNormText"/>
      </w:pPr>
      <w:r>
        <w:tab/>
        <w:t xml:space="preserve">Allows CRDA to finance certain highway projects outside of Atlantic City Tourism District. </w:t>
      </w:r>
    </w:p>
    <w:p w:rsidR="00451248" w:rsidRDefault="00451248" w:rsidP="00451248">
      <w:pPr>
        <w:pStyle w:val="bpuNormText"/>
      </w:pPr>
    </w:p>
    <w:p w:rsidR="00451248" w:rsidRDefault="00451248" w:rsidP="00451248">
      <w:pPr>
        <w:pStyle w:val="bpuSponsor"/>
      </w:pPr>
      <w:r>
        <w:t xml:space="preserve">CURRENT VERSION OF TEXT </w:t>
      </w:r>
    </w:p>
    <w:p w:rsidR="00451248" w:rsidRDefault="00451248" w:rsidP="00451248">
      <w:pPr>
        <w:pStyle w:val="bpuNormText"/>
      </w:pPr>
      <w:r>
        <w:tab/>
        <w:t>Introduced Pending Technical Review by Legislative Counsel.</w:t>
      </w:r>
    </w:p>
    <w:p w:rsidR="00451248" w:rsidRDefault="00451248" w:rsidP="004512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1248" w:rsidRDefault="004512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1248" w:rsidSect="00451248">
          <w:type w:val="continuous"/>
          <w:pgSz w:w="12240" w:h="20160" w:code="5"/>
          <w:pgMar w:top="2160" w:right="2275" w:bottom="1440" w:left="2275" w:header="72" w:footer="720" w:gutter="0"/>
          <w:pgNumType w:start="1"/>
          <w:cols w:space="720"/>
          <w:docGrid w:linePitch="360"/>
        </w:sectPr>
      </w:pPr>
    </w:p>
    <w:p w:rsidR="00596465" w:rsidRPr="00C11985" w:rsidRDefault="00596465" w:rsidP="00596465">
      <w:pPr>
        <w:pStyle w:val="HangingAnAct"/>
        <w:rPr>
          <w:rStyle w:val="HangingAnActChar"/>
        </w:rPr>
      </w:pPr>
      <w:r w:rsidRPr="00596465">
        <w:rPr>
          <w:rStyle w:val="BillHead"/>
        </w:rPr>
        <w:lastRenderedPageBreak/>
        <w:t>An Act</w:t>
      </w:r>
      <w:r w:rsidRPr="006B7FA7">
        <w:rPr>
          <w:rStyle w:val="HangingAnActChar"/>
        </w:rPr>
        <w:t xml:space="preserve"> </w:t>
      </w:r>
      <w:r>
        <w:t>concerning certain projects of the Casino</w:t>
      </w:r>
      <w:r w:rsidRPr="00A952FE">
        <w:t xml:space="preserve"> </w:t>
      </w:r>
      <w:r w:rsidRPr="001F3491">
        <w:t>Reinvestment Development Authority</w:t>
      </w:r>
      <w:r>
        <w:t xml:space="preserve"> and amending P.L.2011, c.18.</w:t>
      </w:r>
    </w:p>
    <w:p w:rsidR="00596465" w:rsidRPr="00D71D68" w:rsidRDefault="00596465" w:rsidP="00596465"/>
    <w:p w:rsidR="00596465" w:rsidRPr="00AA7880" w:rsidRDefault="00596465" w:rsidP="0059646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6465" w:rsidRPr="00D71D68" w:rsidRDefault="00596465" w:rsidP="00596465"/>
    <w:p w:rsidR="00596465" w:rsidRDefault="00596465" w:rsidP="00596465">
      <w:r>
        <w:tab/>
        <w:t>1.</w:t>
      </w:r>
      <w:r>
        <w:tab/>
        <w:t>Section 5 of P.L.2011, c.18 (C.5:12-219) is amended to read as follows:</w:t>
      </w:r>
    </w:p>
    <w:p w:rsidR="00596465" w:rsidRDefault="00596465" w:rsidP="00596465">
      <w:r>
        <w:tab/>
        <w:t>5.</w:t>
      </w:r>
      <w:r w:rsidR="00451248">
        <w:tab/>
      </w:r>
      <w:r>
        <w:t>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w:t>
      </w:r>
      <w:r w:rsidR="00451248">
        <w:t>e tourism industry.</w:t>
      </w:r>
      <w:r>
        <w:t xml:space="preserve"> Notwithstanding section 7 of P.L.1984, c.218 (C.5:12-155), the authority shall adopt the resolution by an affirmative vote of two-thirds of the voting members of the authority no more than 90 days after the effective date of P.L.2011, c.18 (C.5:12-218</w:t>
      </w:r>
      <w:r w:rsidR="00451248">
        <w:t> </w:t>
      </w:r>
      <w:r>
        <w:t>et</w:t>
      </w:r>
      <w:r w:rsidR="00451248">
        <w:t> </w:t>
      </w:r>
      <w:r>
        <w:t>al.).</w:t>
      </w:r>
      <w:r w:rsidR="00451248">
        <w:t>  </w:t>
      </w:r>
      <w:r>
        <w:t>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596465" w:rsidRDefault="00596465" w:rsidP="00596465">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596465" w:rsidRDefault="00596465" w:rsidP="00596465">
      <w:r>
        <w:tab/>
        <w:t>(a)</w:t>
      </w:r>
      <w:r>
        <w:tab/>
        <w:t>the area known as Bader Field;</w:t>
      </w:r>
    </w:p>
    <w:p w:rsidR="00596465" w:rsidRDefault="00596465" w:rsidP="00596465">
      <w:r>
        <w:tab/>
        <w:t>(b)</w:t>
      </w:r>
      <w:r>
        <w:tab/>
        <w:t xml:space="preserve">the area known as the Marina District beginning at a point north of White Horse Pike and continuing northwesterly along State </w:t>
      </w:r>
      <w:r>
        <w:lastRenderedPageBreak/>
        <w:t xml:space="preserve">Route 87 and Huron Avenue, and the casinos and hotels adjacent thereto, and bounded to the east by the body of water known as Clam </w:t>
      </w:r>
      <w:proofErr w:type="spellStart"/>
      <w:r>
        <w:t>Thorofare</w:t>
      </w:r>
      <w:proofErr w:type="spellEnd"/>
      <w:r>
        <w:t xml:space="preserve"> and bounded to the west by Huron Avenue and which area shall also encompass the area known as Farley Marina; and</w:t>
      </w:r>
    </w:p>
    <w:p w:rsidR="00596465" w:rsidRDefault="00596465" w:rsidP="00596465">
      <w:r>
        <w:tab/>
        <w:t>(c)</w:t>
      </w:r>
      <w:r>
        <w:tab/>
        <w:t xml:space="preserve">all that certain area bounded by a line, having as its point of origin the intersection of Kingston Avenue and Ventnor Avenue, which line of boundary proceeds from that point of origin as follows:  </w:t>
      </w:r>
    </w:p>
    <w:p w:rsidR="00596465" w:rsidRDefault="00596465" w:rsidP="00596465">
      <w:r>
        <w:tab/>
        <w:t>Northeasterly along Ventnor Avenue to its junction with Capt. John A. O'Donnell Parkway;</w:t>
      </w:r>
    </w:p>
    <w:p w:rsidR="00596465" w:rsidRDefault="00596465" w:rsidP="00596465">
      <w:r>
        <w:tab/>
        <w:t>Thence northeasterly along that Parkway to its intersection with Atlantic Avenue;</w:t>
      </w:r>
    </w:p>
    <w:p w:rsidR="00596465" w:rsidRDefault="00596465" w:rsidP="00596465">
      <w:r>
        <w:tab/>
        <w:t>Thence northeasterly along Atlantic Avenue to its junction with Florida Avenue;</w:t>
      </w:r>
    </w:p>
    <w:p w:rsidR="00596465" w:rsidRDefault="00596465" w:rsidP="00596465">
      <w:r>
        <w:tab/>
        <w:t>Thence northwesterly along Florida Avenue to its junction with North Turnpike Road;</w:t>
      </w:r>
    </w:p>
    <w:p w:rsidR="00596465" w:rsidRDefault="00596465" w:rsidP="00596465">
      <w:r>
        <w:tab/>
        <w:t>Thence northwesterly along North Turnpike Road to its junction with Sunset Avenue;</w:t>
      </w:r>
    </w:p>
    <w:p w:rsidR="00596465" w:rsidRDefault="00596465" w:rsidP="00596465">
      <w:r>
        <w:tab/>
        <w:t>Thence along Sunset Avenue as it curves to its intersection with Mediterranean Avenue;</w:t>
      </w:r>
    </w:p>
    <w:p w:rsidR="00596465" w:rsidRDefault="00596465" w:rsidP="00596465">
      <w:r>
        <w:tab/>
        <w:t>Thence northeasterly along Mediterranean Avenue to its junction with North Mississippi Avenue;</w:t>
      </w:r>
    </w:p>
    <w:p w:rsidR="00596465" w:rsidRDefault="00596465" w:rsidP="00596465">
      <w:r>
        <w:tab/>
        <w:t>Thence continuing southeasterly along North Mississippi Avenue to its junction with Fairmont Avenue;</w:t>
      </w:r>
    </w:p>
    <w:p w:rsidR="00596465" w:rsidRDefault="00596465" w:rsidP="00596465">
      <w:r>
        <w:tab/>
        <w:t>Thence northeasterly along Fairmount Avenue to its intersection with Christopher Columbus Boulevard;</w:t>
      </w:r>
    </w:p>
    <w:p w:rsidR="00596465" w:rsidRDefault="00596465" w:rsidP="00596465">
      <w:r>
        <w:tab/>
        <w:t>Thence northwesterly along Christopher Columbus Boulevard to the point at which it borders the Atlantic City Expressway, to its junction with the Atlantic City Expressway and Arkansas Avenue;</w:t>
      </w:r>
    </w:p>
    <w:p w:rsidR="00596465" w:rsidRDefault="00596465" w:rsidP="00596465">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596465" w:rsidRDefault="00596465" w:rsidP="00596465">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596465" w:rsidRDefault="00596465" w:rsidP="00596465">
      <w:r>
        <w:tab/>
        <w:t>Thence continuing southerly and easterly along Bacharach Boulevard to its junction with Arctic Avenue;</w:t>
      </w:r>
    </w:p>
    <w:p w:rsidR="00596465" w:rsidRDefault="00596465" w:rsidP="00596465">
      <w:r>
        <w:tab/>
        <w:t>Thence continuing northeasterly along Arctic Avenue to its junction with Tennessee Avenue;</w:t>
      </w:r>
    </w:p>
    <w:p w:rsidR="00596465" w:rsidRDefault="00596465" w:rsidP="00596465">
      <w:r>
        <w:tab/>
        <w:t>Thence continuing southeasterly along Tennessee Avenue to its junction with Atlantic Avenue;</w:t>
      </w:r>
    </w:p>
    <w:p w:rsidR="00596465" w:rsidRDefault="00596465" w:rsidP="00596465">
      <w:r>
        <w:lastRenderedPageBreak/>
        <w:tab/>
        <w:t>Thence continuing northeasterly along Atlantic Avenue at a width extending westerly of 100 feet from all points along the western side of Atlantic Avenue to its junction with Maine Avenue;</w:t>
      </w:r>
    </w:p>
    <w:p w:rsidR="00596465" w:rsidRDefault="00596465" w:rsidP="00596465">
      <w:r>
        <w:tab/>
        <w:t>Thence continuing from the intersection of Maine Avenue and Atlantic Avenue easterly in a line extending through the Boardwalk and beach, to the tidal shore of Atlantic City;</w:t>
      </w:r>
    </w:p>
    <w:p w:rsidR="00596465" w:rsidRDefault="00596465" w:rsidP="00596465">
      <w:r>
        <w:tab/>
        <w:t>Thence continuing from the intersection of the end point of that line and the tidal shore, southerly along the tidal shores as it jogs and curves to the point the tidal shore turns to a southwesterly direction;</w:t>
      </w:r>
    </w:p>
    <w:p w:rsidR="00596465" w:rsidRDefault="00596465" w:rsidP="00596465">
      <w:r>
        <w:tab/>
        <w:t xml:space="preserve">Thence continuing along such southwesterly direction of the tidal shores as it jogs and curves to the point on the tidal shore at which the shoreline would intersect with a straight-line projection </w:t>
      </w:r>
      <w:proofErr w:type="spellStart"/>
      <w:r>
        <w:t>oceanward</w:t>
      </w:r>
      <w:proofErr w:type="spellEnd"/>
      <w:r>
        <w:t xml:space="preserve"> of southern Kingston Avenue;</w:t>
      </w:r>
    </w:p>
    <w:p w:rsidR="00596465" w:rsidRDefault="00596465" w:rsidP="00596465">
      <w:r>
        <w:tab/>
        <w:t>Thence continuing northerly and westerly along Kingston Avenue to its junction with Ventnor Avenue.</w:t>
      </w:r>
    </w:p>
    <w:p w:rsidR="00596465" w:rsidRDefault="00596465" w:rsidP="00596465">
      <w:r>
        <w:tab/>
        <w:t>b.</w:t>
      </w:r>
      <w:r>
        <w:tab/>
        <w:t>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commercial development, and safety, undertake redevelopment projects, and institute public safety improvements in coordination with security and law enforcement personnel.</w:t>
      </w:r>
    </w:p>
    <w:p w:rsidR="00596465" w:rsidRDefault="00596465" w:rsidP="00596465">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596465" w:rsidRDefault="00596465" w:rsidP="00596465">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596465" w:rsidRDefault="00596465" w:rsidP="00596465">
      <w:r>
        <w:tab/>
        <w:t>d.</w:t>
      </w:r>
      <w:r>
        <w:tab/>
        <w:t xml:space="preserve">The authority may, by resolution, authorize the commencement of studies and the development of preliminary plans </w:t>
      </w:r>
      <w:r>
        <w:lastRenderedPageBreak/>
        <w:t>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596465" w:rsidRDefault="00596465" w:rsidP="00596465">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596465" w:rsidRDefault="00596465" w:rsidP="00596465">
      <w:r>
        <w:t xml:space="preserve"> </w:t>
      </w:r>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w:t>
      </w:r>
      <w:smartTag w:uri="urn:schemas-microsoft-com:office:smarttags" w:element="City">
        <w:r>
          <w:t>Atlantic City</w:t>
        </w:r>
      </w:smartTag>
      <w:r>
        <w:t xml:space="preserve"> and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representatives of the casino and tourism industries, public citizens, and any other individual or organization 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596465" w:rsidRDefault="00596465" w:rsidP="00596465">
      <w:r>
        <w:t xml:space="preserve"> </w:t>
      </w:r>
      <w:r>
        <w:tab/>
        <w:t>g.</w:t>
      </w:r>
      <w:r>
        <w:tab/>
        <w:t xml:space="preserve">The tourism district master plan shall establish goals, policies, needs, and improvement of the tourism district, the implementation of clean and safe initiatives, and the expansion of the </w:t>
      </w:r>
      <w:smartTag w:uri="urn:schemas-microsoft-com:office:smarttags" w:element="City">
        <w:r>
          <w:t>Atlantic City</w:t>
        </w:r>
      </w:smartTag>
      <w:r>
        <w:t xml:space="preserve"> boardwalk area to reflect an authentic </w:t>
      </w:r>
      <w:smartTag w:uri="urn:schemas-microsoft-com:office:smarttags" w:element="place">
        <w:smartTag w:uri="urn:schemas-microsoft-com:office:smarttags" w:element="State">
          <w:r>
            <w:t>New Jersey</w:t>
          </w:r>
        </w:smartTag>
      </w:smartTag>
      <w:r>
        <w:t xml:space="preserve"> boardwalk experience.  The authority may consult with public and private entities, including, but not limited to, those entities that are present in, or that have been involved with the development of, boardwalk areas in </w:t>
      </w:r>
      <w:smartTag w:uri="urn:schemas-microsoft-com:office:smarttags" w:element="State">
        <w:r>
          <w:t>New Jersey</w:t>
        </w:r>
      </w:smartTag>
      <w:r>
        <w:t xml:space="preserve"> such as the boardwalk areas of </w:t>
      </w:r>
      <w:smartTag w:uri="urn:schemas-microsoft-com:office:smarttags" w:element="PlaceType">
        <w:r>
          <w:t>Ocean</w:t>
        </w:r>
      </w:smartTag>
      <w:r>
        <w:t xml:space="preserve"> </w:t>
      </w:r>
      <w:smartTag w:uri="urn:schemas-microsoft-com:office:smarttags" w:element="PlaceType">
        <w:r>
          <w:t>City</w:t>
        </w:r>
      </w:smartTag>
      <w:r>
        <w:t xml:space="preserve">, the Wildwoods, and </w:t>
      </w:r>
      <w:smartTag w:uri="urn:schemas-microsoft-com:office:smarttags" w:element="place">
        <w:r>
          <w:t>Cape May</w:t>
        </w:r>
      </w:smartTag>
      <w:r>
        <w:t>.</w:t>
      </w:r>
    </w:p>
    <w:p w:rsidR="00596465" w:rsidRDefault="00596465" w:rsidP="00596465">
      <w:r>
        <w:tab/>
      </w:r>
      <w:r w:rsidR="00451248">
        <w:t xml:space="preserve"> </w:t>
      </w:r>
      <w:r>
        <w:t>h.</w:t>
      </w:r>
      <w:r>
        <w:tab/>
        <w:t>In developing the tourism district master plan, the authority shall place special emphasis upon the following:</w:t>
      </w:r>
    </w:p>
    <w:p w:rsidR="00596465" w:rsidRDefault="00596465" w:rsidP="00596465">
      <w:r>
        <w:tab/>
        <w:t>(1)</w:t>
      </w:r>
      <w:r>
        <w:tab/>
        <w:t>the facilitation, with minimal government direction, of the investment of private capital in the tourism district in a manner that promotes economic development;</w:t>
      </w:r>
    </w:p>
    <w:p w:rsidR="00596465" w:rsidRDefault="00596465" w:rsidP="00596465">
      <w:r>
        <w:lastRenderedPageBreak/>
        <w:tab/>
        <w:t>(2)</w:t>
      </w:r>
      <w:r>
        <w:tab/>
        <w:t>making use of marina facilities in a way that increases economic activity;</w:t>
      </w:r>
    </w:p>
    <w:p w:rsidR="00596465" w:rsidRDefault="00596465" w:rsidP="00596465">
      <w:r>
        <w:tab/>
        <w:t>(3)</w:t>
      </w:r>
      <w:r>
        <w:tab/>
        <w:t>the development of the boardwalk area;</w:t>
      </w:r>
    </w:p>
    <w:p w:rsidR="00596465" w:rsidRDefault="00596465" w:rsidP="00596465">
      <w:r>
        <w:tab/>
        <w:t>(4)</w:t>
      </w:r>
      <w:r>
        <w:tab/>
        <w:t>the development of the Marina District; and</w:t>
      </w:r>
    </w:p>
    <w:p w:rsidR="00596465" w:rsidRDefault="00596465" w:rsidP="00596465">
      <w:r>
        <w:tab/>
        <w:t>(5)</w:t>
      </w:r>
      <w:r>
        <w:tab/>
        <w:t>the development of nongaming, family centered tourism related activities such as amusement parks.</w:t>
      </w:r>
    </w:p>
    <w:p w:rsidR="00596465" w:rsidRDefault="00596465" w:rsidP="00596465">
      <w:r>
        <w:tab/>
      </w:r>
      <w:r w:rsidR="00451248">
        <w:t xml:space="preserve"> </w:t>
      </w:r>
      <w:proofErr w:type="spellStart"/>
      <w:r>
        <w:t>i</w:t>
      </w:r>
      <w:proofErr w:type="spellEnd"/>
      <w:r>
        <w:t>.</w:t>
      </w:r>
      <w:r>
        <w:tab/>
        <w:t>The authority shall solicit funds from private sources to aid in support of the tourism district.</w:t>
      </w:r>
    </w:p>
    <w:p w:rsidR="00596465" w:rsidRDefault="00596465" w:rsidP="00596465">
      <w:r>
        <w:tab/>
      </w:r>
      <w:r w:rsidR="00451248">
        <w:t xml:space="preserve"> </w:t>
      </w:r>
      <w:r>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w:t>
      </w:r>
      <w:smartTag w:uri="urn:schemas-microsoft-com:office:smarttags" w:element="place">
        <w:smartTag w:uri="urn:schemas-microsoft-com:office:smarttags" w:element="City">
          <w:r>
            <w:t>Atlantic City</w:t>
          </w:r>
        </w:smartTag>
      </w:smartTag>
      <w:r>
        <w:t xml:space="preserve">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municipal ordinance.  A program adopted pursuant to this subsection shall not be subject to repeal or suspension by voter initiative.</w:t>
      </w:r>
    </w:p>
    <w:p w:rsidR="00596465" w:rsidRDefault="00596465" w:rsidP="00596465">
      <w:r>
        <w:tab/>
      </w:r>
      <w:r w:rsidR="00451248">
        <w:t xml:space="preserve"> </w:t>
      </w:r>
      <w:r>
        <w:t>k.</w:t>
      </w:r>
      <w:r>
        <w:tab/>
      </w:r>
      <w:r>
        <w:rPr>
          <w:u w:val="single"/>
        </w:rPr>
        <w:t>(1)</w:t>
      </w:r>
      <w:r>
        <w:t xml:space="preserve">  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596465" w:rsidRPr="002F6BA8" w:rsidRDefault="00596465" w:rsidP="00596465">
      <w:r>
        <w:tab/>
      </w:r>
      <w:r>
        <w:rPr>
          <w:u w:val="single"/>
        </w:rPr>
        <w:t>(2)</w:t>
      </w:r>
      <w:r w:rsidR="00451248">
        <w:rPr>
          <w:u w:val="single"/>
        </w:rPr>
        <w:tab/>
      </w:r>
      <w:r>
        <w:rPr>
          <w:u w:val="single"/>
        </w:rPr>
        <w:t xml:space="preserve">Notwithstanding the provisions of any other law, rule, or regulation to the contrary, including paragraph (1) of this subsection, the authority may enter into a contract or agreement with the State or the New Jersey Transportation Trust Fund Authority, established by section 4 of </w:t>
      </w:r>
      <w:r w:rsidRPr="00983C12">
        <w:rPr>
          <w:u w:val="single"/>
        </w:rPr>
        <w:t>P.L.1984, c.73 (C.27:1B-4),</w:t>
      </w:r>
      <w:r>
        <w:rPr>
          <w:u w:val="single"/>
        </w:rPr>
        <w:t xml:space="preserve"> to provide for, or assist in, the financing of a highway project. </w:t>
      </w:r>
      <w:r w:rsidRPr="002F6BA8">
        <w:rPr>
          <w:u w:val="single"/>
        </w:rPr>
        <w:t xml:space="preserve"> </w:t>
      </w:r>
      <w:r>
        <w:rPr>
          <w:u w:val="single"/>
        </w:rPr>
        <w:t xml:space="preserve">For the purposes of this paragraph, “highway project” means the planning, acquisition, engineering, construction, reconstruction, or improvement of any highway with direct access to </w:t>
      </w:r>
      <w:smartTag w:uri="urn:schemas-microsoft-com:office:smarttags" w:element="place">
        <w:smartTag w:uri="urn:schemas-microsoft-com:office:smarttags" w:element="City">
          <w:r>
            <w:rPr>
              <w:u w:val="single"/>
            </w:rPr>
            <w:t>Atlantic City</w:t>
          </w:r>
        </w:smartTag>
      </w:smartTag>
      <w:r>
        <w:rPr>
          <w:u w:val="single"/>
        </w:rPr>
        <w:t xml:space="preserve"> if that project is within a 15 mile radius of the westernmost boundary of the Atlantic City Tourism District.    </w:t>
      </w:r>
    </w:p>
    <w:p w:rsidR="00596465" w:rsidRDefault="00596465" w:rsidP="00596465">
      <w:r>
        <w:tab/>
        <w:t>l.</w:t>
      </w:r>
      <w:r>
        <w:tab/>
        <w:t xml:space="preserve">The authority shall coordinate and collaborate with the city of </w:t>
      </w:r>
      <w:smartTag w:uri="urn:schemas-microsoft-com:office:smarttags" w:element="place">
        <w:smartTag w:uri="urn:schemas-microsoft-com:office:smarttags" w:element="City">
          <w:r>
            <w:t>Atlantic City Planning</w:t>
          </w:r>
        </w:smartTag>
      </w:smartTag>
      <w:r>
        <w:t xml:space="preserve"> and Zoning Departments with respect to code enforcement, planning </w:t>
      </w:r>
      <w:r>
        <w:rPr>
          <w:u w:val="single"/>
        </w:rPr>
        <w:t>,</w:t>
      </w:r>
      <w:r>
        <w:t xml:space="preserve"> and zoning.  The authority shall coordinate and collaborate with any of the city's departments, </w:t>
      </w:r>
      <w:r>
        <w:lastRenderedPageBreak/>
        <w:t xml:space="preserve">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596465" w:rsidRDefault="00596465" w:rsidP="00596465">
      <w:r>
        <w:tab/>
        <w:t>m.</w:t>
      </w:r>
      <w:r>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596465" w:rsidRDefault="00596465" w:rsidP="00596465">
      <w:r>
        <w:t>(</w:t>
      </w:r>
      <w:proofErr w:type="spellStart"/>
      <w:r>
        <w:t>cf</w:t>
      </w:r>
      <w:proofErr w:type="spellEnd"/>
      <w:r>
        <w:t>: P.L.2012, c.34, s.12)</w:t>
      </w:r>
    </w:p>
    <w:p w:rsidR="00596465" w:rsidRPr="00D71D68" w:rsidRDefault="00596465" w:rsidP="00596465"/>
    <w:p w:rsidR="00596465" w:rsidRPr="00AA7880" w:rsidRDefault="00596465" w:rsidP="00596465">
      <w:r>
        <w:tab/>
        <w:t>2.</w:t>
      </w:r>
      <w:r>
        <w:tab/>
        <w:t>This act shall take effect immediately.</w:t>
      </w:r>
    </w:p>
    <w:p w:rsidR="00596465" w:rsidRDefault="00596465" w:rsidP="00596465"/>
    <w:p w:rsidR="00596465" w:rsidRPr="00CE7BD8" w:rsidRDefault="00596465" w:rsidP="00596465"/>
    <w:p w:rsidR="00596465" w:rsidRPr="00AA7880" w:rsidRDefault="00596465" w:rsidP="00596465">
      <w:pPr>
        <w:jc w:val="center"/>
      </w:pPr>
      <w:r w:rsidRPr="00D71D68">
        <w:t>STATEMENT</w:t>
      </w:r>
    </w:p>
    <w:p w:rsidR="00596465" w:rsidRDefault="00596465" w:rsidP="00596465"/>
    <w:p w:rsidR="00596465" w:rsidRPr="00E7752C" w:rsidRDefault="00596465" w:rsidP="00596465">
      <w:r>
        <w:tab/>
        <w:t xml:space="preserve">This bill allows, notwithstanding the provisions of current law to the contrary, the Casino Reinvestment Development </w:t>
      </w:r>
      <w:r w:rsidRPr="00061AF5">
        <w:t xml:space="preserve">Authority </w:t>
      </w:r>
      <w:r>
        <w:t xml:space="preserve">(“authority”) to </w:t>
      </w:r>
      <w:r w:rsidRPr="00061AF5">
        <w:t xml:space="preserve">enter into a contract or agreement with the </w:t>
      </w:r>
      <w:r>
        <w:t xml:space="preserve">State or the </w:t>
      </w:r>
      <w:r w:rsidRPr="00BA566B">
        <w:t xml:space="preserve">New Jersey Transportation Trust Fund Authority </w:t>
      </w:r>
      <w:r>
        <w:t>to provide for, or assist in,</w:t>
      </w:r>
      <w:r w:rsidRPr="00BA566B">
        <w:t xml:space="preserve"> the financing of a highway project</w:t>
      </w:r>
      <w:r w:rsidRPr="00061AF5">
        <w:t>.</w:t>
      </w:r>
      <w:r>
        <w:t xml:space="preserve">  The bill </w:t>
      </w:r>
      <w:r w:rsidRPr="00BA566B">
        <w:t xml:space="preserve">defines a </w:t>
      </w:r>
      <w:r>
        <w:t>“</w:t>
      </w:r>
      <w:r w:rsidRPr="00BA566B">
        <w:t xml:space="preserve">highway project” </w:t>
      </w:r>
      <w:r>
        <w:t xml:space="preserve">as </w:t>
      </w:r>
      <w:r w:rsidRPr="00BA566B">
        <w:t>the planning, acquisition, engineering, construction, reconstruction</w:t>
      </w:r>
      <w:r>
        <w:t>,</w:t>
      </w:r>
      <w:r w:rsidRPr="00BA566B">
        <w:t xml:space="preserve"> or improvement of any highway with </w:t>
      </w:r>
      <w:r>
        <w:t>direct access</w:t>
      </w:r>
      <w:r w:rsidRPr="00BA566B">
        <w:t xml:space="preserve"> to </w:t>
      </w:r>
      <w:smartTag w:uri="urn:schemas-microsoft-com:office:smarttags" w:element="place">
        <w:smartTag w:uri="urn:schemas-microsoft-com:office:smarttags" w:element="City">
          <w:r w:rsidRPr="00BA566B">
            <w:t>Atlantic City</w:t>
          </w:r>
        </w:smartTag>
      </w:smartTag>
      <w:r>
        <w:t xml:space="preserve">, if that project is </w:t>
      </w:r>
      <w:r w:rsidRPr="00BA566B">
        <w:t>within a 15 mile radius of the westernmost boundary of the</w:t>
      </w:r>
      <w:r>
        <w:t xml:space="preserve"> Atlantic City Tourism </w:t>
      </w:r>
      <w:r>
        <w:lastRenderedPageBreak/>
        <w:t>District</w:t>
      </w:r>
      <w:r w:rsidRPr="00BA566B">
        <w:t>.</w:t>
      </w:r>
      <w:r>
        <w:t xml:space="preserve">  </w:t>
      </w:r>
      <w:r w:rsidRPr="00A952FE">
        <w:t>Current law requires all available ass</w:t>
      </w:r>
      <w:r>
        <w:t>ets and revenues of the authority be devoted to the purposes of the Atlantic City Tourism District and community development in Atlantic City.</w:t>
      </w:r>
    </w:p>
    <w:sectPr w:rsidR="00596465" w:rsidRPr="00E7752C" w:rsidSect="004512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1A5" w:rsidRDefault="008711A5">
      <w:r>
        <w:separator/>
      </w:r>
    </w:p>
  </w:endnote>
  <w:endnote w:type="continuationSeparator" w:id="0">
    <w:p w:rsidR="008711A5" w:rsidRDefault="00871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248" w:rsidRDefault="00451248">
    <w:pPr>
      <w:pStyle w:val="Footer"/>
      <w:rPr>
        <w:szCs w:val="18"/>
      </w:rPr>
    </w:pPr>
  </w:p>
  <w:p w:rsidR="00451248" w:rsidRPr="00921C91" w:rsidRDefault="004512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248" w:rsidRPr="00921C91" w:rsidRDefault="00451248">
    <w:pPr>
      <w:pStyle w:val="Footer"/>
      <w:rPr>
        <w:szCs w:val="18"/>
      </w:rPr>
    </w:pPr>
  </w:p>
  <w:p w:rsidR="00451248" w:rsidRPr="00921C91" w:rsidRDefault="004512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1A5" w:rsidRDefault="008711A5">
      <w:r>
        <w:separator/>
      </w:r>
    </w:p>
  </w:footnote>
  <w:footnote w:type="continuationSeparator" w:id="0">
    <w:p w:rsidR="008711A5" w:rsidRDefault="00871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6F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1248" w:rsidRDefault="00451248" w:rsidP="00451248">
    <w:pPr>
      <w:pStyle w:val="bpuHeadSpon"/>
    </w:pPr>
    <w:r w:rsidRPr="00451248">
      <w:rPr>
        <w:rStyle w:val="bpuHeadSponChar"/>
      </w:rPr>
      <w:t>S209</w:t>
    </w:r>
    <w:r>
      <w:t xml:space="preserve"> CONNORS</w:t>
    </w:r>
  </w:p>
  <w:p w:rsidR="00451248" w:rsidRDefault="00451248" w:rsidP="00451248">
    <w:pPr>
      <w:pStyle w:val="bpuHeadSpon"/>
    </w:pPr>
    <w:r>
      <w:fldChar w:fldCharType="begin"/>
    </w:r>
    <w:r>
      <w:instrText xml:space="preserve"> PAGE  \* MERGEFORMAT </w:instrText>
    </w:r>
    <w:r>
      <w:fldChar w:fldCharType="separate"/>
    </w:r>
    <w:r w:rsidR="00D46FB6">
      <w:rPr>
        <w:noProof/>
      </w:rPr>
      <w:t>8</w:t>
    </w:r>
    <w:r>
      <w:fldChar w:fldCharType="end"/>
    </w:r>
  </w:p>
  <w:p w:rsidR="00451248" w:rsidRPr="00AF575C" w:rsidRDefault="00451248" w:rsidP="004512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1248" w:rsidRDefault="00451248" w:rsidP="00451248">
    <w:pPr>
      <w:pStyle w:val="bpuHeadSpon"/>
    </w:pPr>
    <w:r w:rsidRPr="00451248">
      <w:rPr>
        <w:rStyle w:val="bpuHeadSponChar"/>
      </w:rPr>
      <w:t>S209</w:t>
    </w:r>
    <w:r>
      <w:t xml:space="preserve"> CONNORS</w:t>
    </w:r>
  </w:p>
  <w:p w:rsidR="00451248" w:rsidRDefault="00451248" w:rsidP="00451248">
    <w:pPr>
      <w:pStyle w:val="bpuHeadSpon"/>
    </w:pPr>
    <w:r>
      <w:fldChar w:fldCharType="begin"/>
    </w:r>
    <w:r>
      <w:instrText xml:space="preserve"> PAGE  \* MERGEFORMAT </w:instrText>
    </w:r>
    <w:r>
      <w:fldChar w:fldCharType="separate"/>
    </w:r>
    <w:r w:rsidR="00D46FB6">
      <w:rPr>
        <w:noProof/>
      </w:rPr>
      <w:t>2</w:t>
    </w:r>
    <w:r>
      <w:fldChar w:fldCharType="end"/>
    </w:r>
  </w:p>
  <w:p w:rsidR="00451248" w:rsidRDefault="00451248" w:rsidP="004512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1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24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465"/>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CF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1A5"/>
    <w:rsid w:val="00874609"/>
    <w:rsid w:val="0087660A"/>
    <w:rsid w:val="008823AF"/>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B2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FB6"/>
    <w:rsid w:val="00D57B94"/>
    <w:rsid w:val="00D6038F"/>
    <w:rsid w:val="00D66913"/>
    <w:rsid w:val="00D72DA0"/>
    <w:rsid w:val="00D74F5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C207F1F-C276-48BE-AB6B-1ED13119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1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E4F59-C06D-4DAD-AEC6-FD212DD1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2546</Words>
  <Characters>14329</Characters>
  <Application>Microsoft Office Word</Application>
  <DocSecurity>0</DocSecurity>
  <Lines>309</Lines>
  <Paragraphs>62</Paragraphs>
  <ScaleCrop>false</ScaleCrop>
  <HeadingPairs>
    <vt:vector size="2" baseType="variant">
      <vt:variant>
        <vt:lpstr>Title</vt:lpstr>
      </vt:variant>
      <vt:variant>
        <vt:i4>1</vt:i4>
      </vt:variant>
    </vt:vector>
  </HeadingPairs>
  <TitlesOfParts>
    <vt:vector size="1" baseType="lpstr">
      <vt:lpstr>connors/320_I1</vt:lpstr>
    </vt:vector>
  </TitlesOfParts>
  <Manager>R224</Manager>
  <Company>OFFICE of LEGISLATIVE SERVICES</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dc:title>
  <dc:creator>Senator  CONNORS</dc:creator>
  <cp:keywords>S209|8|LG |264|0|0|!|0|</cp:keywords>
  <dc:description>PREFILED 2020</dc:description>
  <cp:lastModifiedBy>Franks, Denise</cp:lastModifiedBy>
  <cp:revision>2</cp:revision>
  <cp:lastPrinted>2019-12-12T19:17:00Z</cp:lastPrinted>
  <dcterms:created xsi:type="dcterms:W3CDTF">2019-12-12T20:43:00Z</dcterms:created>
  <dcterms:modified xsi:type="dcterms:W3CDTF">2019-12-12T20:43:00Z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