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D2A" w:rsidRDefault="00473D2A" w:rsidP="00473D2A">
      <w:pPr>
        <w:pStyle w:val="bpuBill"/>
      </w:pPr>
      <w:bookmarkStart w:id="0" w:name="bpuFrontPg"/>
      <w:bookmarkStart w:id="1" w:name="_GoBack"/>
      <w:bookmarkEnd w:id="0"/>
      <w:bookmarkEnd w:id="1"/>
      <w:r>
        <w:t xml:space="preserve">SENATE, No. 383 </w:t>
      </w:r>
    </w:p>
    <w:p w:rsidR="00473D2A" w:rsidRPr="00473D2A" w:rsidRDefault="00473D2A" w:rsidP="00473D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858118" r:id="rId8"/>
        </w:object>
      </w:r>
    </w:p>
    <w:p w:rsidR="00473D2A" w:rsidRDefault="00473D2A" w:rsidP="00473D2A">
      <w:pPr>
        <w:pStyle w:val="bpuState"/>
      </w:pPr>
      <w:r>
        <w:t>STATE OF NEW JERSEY</w:t>
      </w:r>
    </w:p>
    <w:p w:rsidR="00473D2A" w:rsidRDefault="00473D2A" w:rsidP="00473D2A">
      <w:pPr>
        <w:pStyle w:val="bpuLegislature"/>
      </w:pPr>
      <w:r>
        <w:t>219th LEGISLATURE</w:t>
      </w:r>
    </w:p>
    <w:p w:rsidR="00473D2A" w:rsidRDefault="00473D2A" w:rsidP="00473D2A">
      <w:pPr>
        <w:pStyle w:val="bpuWpGraphic"/>
      </w:pPr>
      <w:r>
        <w:object w:dxaOrig="8985" w:dyaOrig="255">
          <v:shape id="_x0000_i1026" type="#_x0000_t75" style="width:6in;height:11.5pt" o:ole="">
            <v:imagedata r:id="rId7" o:title=""/>
          </v:shape>
          <o:OLEObject Type="Embed" ProgID="WPWin6.1" ShapeID="_x0000_i1026" DrawAspect="Content" ObjectID="_1685858119" r:id="rId9"/>
        </w:object>
      </w:r>
      <w:r>
        <w:t xml:space="preserve">  </w:t>
      </w:r>
    </w:p>
    <w:p w:rsidR="00473D2A" w:rsidRDefault="00473D2A" w:rsidP="00473D2A">
      <w:pPr>
        <w:pStyle w:val="bpuIntro"/>
      </w:pPr>
      <w:r>
        <w:t>PRE-FILED FOR INTRODUCTION IN THE 2020 SESSION</w:t>
      </w:r>
    </w:p>
    <w:p w:rsidR="00473D2A" w:rsidRDefault="00473D2A" w:rsidP="00473D2A">
      <w:pPr>
        <w:pStyle w:val="bpuIntro"/>
      </w:pPr>
    </w:p>
    <w:p w:rsidR="00473D2A" w:rsidRDefault="00473D2A" w:rsidP="00473D2A">
      <w:pPr>
        <w:pStyle w:val="bpuIntro"/>
        <w:sectPr w:rsidR="00473D2A" w:rsidSect="00015ED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73D2A" w:rsidRDefault="00473D2A" w:rsidP="00473D2A">
      <w:pPr>
        <w:pStyle w:val="bpuIntro"/>
      </w:pPr>
    </w:p>
    <w:p w:rsidR="00473D2A" w:rsidRDefault="00473D2A" w:rsidP="00473D2A">
      <w:pPr>
        <w:pStyle w:val="bpuSponsor"/>
      </w:pPr>
      <w:r>
        <w:t>Sponsored by:</w:t>
      </w:r>
    </w:p>
    <w:p w:rsidR="00473D2A" w:rsidRDefault="00473D2A" w:rsidP="00473D2A">
      <w:pPr>
        <w:pStyle w:val="bpuSponsor"/>
      </w:pPr>
      <w:r>
        <w:t>Senator  LORETTA WEINBERG</w:t>
      </w:r>
    </w:p>
    <w:p w:rsidR="00473D2A" w:rsidRDefault="00473D2A" w:rsidP="00473D2A">
      <w:pPr>
        <w:pStyle w:val="bpuSponsor"/>
      </w:pPr>
      <w:r>
        <w:t>District 37 (Bergen)</w:t>
      </w:r>
    </w:p>
    <w:p w:rsidR="00473D2A" w:rsidRDefault="00473D2A" w:rsidP="00473D2A">
      <w:pPr>
        <w:pStyle w:val="bpuSponsor"/>
      </w:pPr>
      <w:r>
        <w:t>Senator  TROY SINGLETON</w:t>
      </w:r>
    </w:p>
    <w:p w:rsidR="00473D2A" w:rsidRDefault="00473D2A" w:rsidP="00473D2A">
      <w:pPr>
        <w:pStyle w:val="bpuSponsor"/>
      </w:pPr>
      <w:r>
        <w:t>District 7 (Burlington)</w:t>
      </w:r>
    </w:p>
    <w:p w:rsidR="00473D2A" w:rsidRDefault="00473D2A" w:rsidP="00473D2A">
      <w:pPr>
        <w:pStyle w:val="bpuSponsor"/>
      </w:pPr>
    </w:p>
    <w:p w:rsidR="00475734" w:rsidRDefault="00015ED5" w:rsidP="00015ED5">
      <w:pPr>
        <w:pStyle w:val="bpuSponsor"/>
      </w:pPr>
      <w:r>
        <w:t>Co-Sponsored by:</w:t>
      </w:r>
    </w:p>
    <w:p w:rsidR="00015ED5" w:rsidRPr="00015ED5" w:rsidRDefault="00015ED5" w:rsidP="00015ED5">
      <w:pPr>
        <w:pStyle w:val="bpuSponsor"/>
      </w:pPr>
      <w:r w:rsidRPr="00015ED5">
        <w:t xml:space="preserve">Senators </w:t>
      </w:r>
      <w:proofErr w:type="spellStart"/>
      <w:r w:rsidRPr="00015ED5">
        <w:t>Corrado</w:t>
      </w:r>
      <w:proofErr w:type="spellEnd"/>
      <w:r w:rsidRPr="00015ED5">
        <w:t xml:space="preserve">, Ruiz and </w:t>
      </w:r>
      <w:proofErr w:type="spellStart"/>
      <w:r w:rsidRPr="00015ED5">
        <w:t>Pou</w:t>
      </w:r>
      <w:proofErr w:type="spellEnd"/>
    </w:p>
    <w:p w:rsidR="00473D2A" w:rsidRDefault="00473D2A" w:rsidP="00473D2A"/>
    <w:p w:rsidR="00015ED5" w:rsidRDefault="00015ED5" w:rsidP="00473D2A"/>
    <w:p w:rsidR="00473D2A" w:rsidRPr="00473D2A" w:rsidRDefault="00473D2A" w:rsidP="00473D2A"/>
    <w:p w:rsidR="00473D2A" w:rsidRDefault="00473D2A" w:rsidP="00473D2A">
      <w:pPr>
        <w:pStyle w:val="bpuSponsor"/>
      </w:pPr>
    </w:p>
    <w:p w:rsidR="00473D2A" w:rsidRDefault="00473D2A" w:rsidP="00473D2A">
      <w:pPr>
        <w:pStyle w:val="bpuSponsor"/>
      </w:pPr>
      <w:r>
        <w:t>SYNOPSIS</w:t>
      </w:r>
    </w:p>
    <w:p w:rsidR="00473D2A" w:rsidRDefault="00473D2A" w:rsidP="00473D2A">
      <w:pPr>
        <w:pStyle w:val="bpuNormText"/>
      </w:pPr>
      <w:r>
        <w:tab/>
        <w:t xml:space="preserve">Establishes standards for Batterers’ Intervention Programs in domestic violence cases. </w:t>
      </w:r>
    </w:p>
    <w:p w:rsidR="00473D2A" w:rsidRDefault="00473D2A" w:rsidP="00473D2A">
      <w:pPr>
        <w:pStyle w:val="bpuNormText"/>
      </w:pPr>
    </w:p>
    <w:p w:rsidR="00473D2A" w:rsidRDefault="00473D2A" w:rsidP="00473D2A">
      <w:pPr>
        <w:pStyle w:val="bpuSponsor"/>
      </w:pPr>
      <w:r>
        <w:t xml:space="preserve">CURRENT VERSION OF TEXT </w:t>
      </w:r>
    </w:p>
    <w:p w:rsidR="00473D2A" w:rsidRDefault="00473D2A" w:rsidP="00473D2A">
      <w:pPr>
        <w:pStyle w:val="bpuNormText"/>
      </w:pPr>
      <w:r>
        <w:tab/>
        <w:t>Introduced Pending Technical Review by Legislative Counsel.</w:t>
      </w:r>
    </w:p>
    <w:p w:rsidR="00473D2A" w:rsidRDefault="00473D2A" w:rsidP="00473D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3D2A" w:rsidRDefault="00473D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3D2A" w:rsidSect="00473D2A">
          <w:type w:val="continuous"/>
          <w:pgSz w:w="12240" w:h="20160" w:code="5"/>
          <w:pgMar w:top="2160" w:right="2275" w:bottom="1440" w:left="2275" w:header="72" w:footer="720" w:gutter="0"/>
          <w:pgNumType w:start="1"/>
          <w:cols w:space="720"/>
          <w:docGrid w:linePitch="360"/>
        </w:sectPr>
      </w:pPr>
    </w:p>
    <w:p w:rsidR="002827A9" w:rsidRPr="00677316" w:rsidRDefault="002827A9" w:rsidP="002827A9">
      <w:pPr>
        <w:pStyle w:val="HangingAnAct"/>
        <w:rPr>
          <w:rStyle w:val="HangingAnActChar"/>
        </w:rPr>
      </w:pPr>
      <w:r w:rsidRPr="002827A9">
        <w:rPr>
          <w:rStyle w:val="BillHead"/>
        </w:rPr>
        <w:lastRenderedPageBreak/>
        <w:t>An Act</w:t>
      </w:r>
      <w:r w:rsidRPr="006B7FA7">
        <w:rPr>
          <w:rStyle w:val="HangingAnActChar"/>
        </w:rPr>
        <w:t xml:space="preserve"> </w:t>
      </w:r>
      <w:r>
        <w:rPr>
          <w:rStyle w:val="HangingAnActChar"/>
        </w:rPr>
        <w:t xml:space="preserve">concerning domestic violence, amending and supplementing </w:t>
      </w:r>
      <w:r>
        <w:t>P.L.1991, c.261</w:t>
      </w:r>
      <w:r>
        <w:rPr>
          <w:rStyle w:val="HangingAnActChar"/>
        </w:rPr>
        <w:t>.</w:t>
      </w:r>
    </w:p>
    <w:p w:rsidR="002827A9" w:rsidRPr="00D71D68" w:rsidRDefault="002827A9" w:rsidP="002827A9"/>
    <w:p w:rsidR="002827A9" w:rsidRPr="00AA7880" w:rsidRDefault="002827A9" w:rsidP="002827A9">
      <w:r>
        <w:tab/>
      </w:r>
      <w:r>
        <w:rPr>
          <w:rStyle w:val="BillHeading2"/>
        </w:rPr>
        <w:t xml:space="preserve">Be It Enacted </w:t>
      </w:r>
      <w:r>
        <w:rPr>
          <w:rStyle w:val="BillLanguage"/>
        </w:rPr>
        <w:t>by the Senate and General Assembly of the State of New Jersey:</w:t>
      </w:r>
    </w:p>
    <w:p w:rsidR="002827A9" w:rsidRDefault="002827A9" w:rsidP="002827A9"/>
    <w:p w:rsidR="002827A9" w:rsidRDefault="002827A9" w:rsidP="002827A9">
      <w:r>
        <w:tab/>
        <w:t>1.</w:t>
      </w:r>
      <w:r>
        <w:tab/>
        <w:t>Section 13 of P.L.1991, c.261 (C.2C:25-29) is amended to read as follows:</w:t>
      </w:r>
    </w:p>
    <w:p w:rsidR="002827A9" w:rsidRDefault="00473D2A" w:rsidP="00473D2A">
      <w:pPr>
        <w:tabs>
          <w:tab w:val="clear" w:pos="1440"/>
          <w:tab w:val="left" w:pos="1080"/>
        </w:tabs>
      </w:pPr>
      <w:r>
        <w:tab/>
        <w:t>13.</w:t>
      </w:r>
      <w:r>
        <w:tab/>
        <w:t>a.</w:t>
      </w:r>
      <w:r>
        <w:tab/>
      </w:r>
      <w:r w:rsidR="002827A9">
        <w:t xml:space="preserve">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w:t>
      </w:r>
      <w:r w:rsidR="002827A9">
        <w:rPr>
          <w:u w:val="single"/>
        </w:rPr>
        <w:t>prior to the repeal of P.L.1981, c.426 (C.2C:25-1 et seq.),</w:t>
      </w:r>
      <w:r w:rsidR="002827A9">
        <w:t xml:space="preserve"> or </w:t>
      </w:r>
      <w:r w:rsidR="002827A9">
        <w:rPr>
          <w:u w:val="single"/>
        </w:rPr>
        <w:t>the subject matter of a complaint brought under</w:t>
      </w:r>
      <w:r w:rsidR="002827A9">
        <w:t xml:space="preserve">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2827A9" w:rsidRDefault="002827A9" w:rsidP="002827A9">
      <w:r>
        <w:tab/>
        <w:t>(1)</w:t>
      </w:r>
      <w:r>
        <w:tab/>
        <w:t xml:space="preserve">The previous history of domestic violence between the plaintiff and defendant, including threats, harassment and physical abuse; </w:t>
      </w:r>
    </w:p>
    <w:p w:rsidR="002827A9" w:rsidRDefault="002827A9" w:rsidP="002827A9">
      <w:r>
        <w:tab/>
        <w:t>(2)</w:t>
      </w:r>
      <w:r>
        <w:tab/>
        <w:t xml:space="preserve">The existence of immediate danger to person or property; </w:t>
      </w:r>
    </w:p>
    <w:p w:rsidR="002827A9" w:rsidRDefault="002827A9" w:rsidP="002827A9">
      <w:r>
        <w:tab/>
        <w:t>(3)</w:t>
      </w:r>
      <w:r>
        <w:tab/>
        <w:t xml:space="preserve">The financial circumstances of the plaintiff and defendant; </w:t>
      </w:r>
    </w:p>
    <w:p w:rsidR="002827A9" w:rsidRDefault="002827A9" w:rsidP="002827A9">
      <w:r>
        <w:tab/>
        <w:t>(4)</w:t>
      </w:r>
      <w:r>
        <w:tab/>
        <w:t xml:space="preserve">The best interests of the victim and any child; </w:t>
      </w:r>
    </w:p>
    <w:p w:rsidR="002827A9" w:rsidRDefault="002827A9" w:rsidP="002827A9">
      <w:r>
        <w:tab/>
        <w:t>(5)</w:t>
      </w:r>
      <w:r>
        <w:tab/>
        <w:t xml:space="preserve">In determining custody and parenting time the protection of the victim's safety; and </w:t>
      </w:r>
    </w:p>
    <w:p w:rsidR="002827A9" w:rsidRDefault="002827A9" w:rsidP="002827A9">
      <w:r>
        <w:tab/>
        <w:t>(6)</w:t>
      </w:r>
      <w:r>
        <w:tab/>
        <w:t>The existence of a verifiable order of protection from another jurisdiction.</w:t>
      </w:r>
    </w:p>
    <w:p w:rsidR="002827A9" w:rsidRDefault="002827A9" w:rsidP="002827A9">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2827A9" w:rsidRDefault="002827A9" w:rsidP="002827A9">
      <w:r>
        <w:tab/>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2827A9" w:rsidRDefault="002827A9" w:rsidP="002827A9">
      <w: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2827A9" w:rsidRDefault="002827A9" w:rsidP="002827A9">
      <w:r>
        <w:tab/>
        <w:t>(1)</w:t>
      </w:r>
      <w:r>
        <w:tab/>
        <w:t xml:space="preserve">An order restraining the defendant from subjecting the victim to domestic violence, as defined in this act.  </w:t>
      </w:r>
    </w:p>
    <w:p w:rsidR="002827A9" w:rsidRDefault="002827A9" w:rsidP="002827A9">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2827A9" w:rsidRDefault="002827A9" w:rsidP="002827A9">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2827A9" w:rsidRDefault="002827A9" w:rsidP="002827A9">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2827A9" w:rsidRDefault="002827A9" w:rsidP="002827A9">
      <w:r>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2827A9" w:rsidRDefault="002827A9" w:rsidP="002827A9">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2827A9" w:rsidRDefault="002827A9" w:rsidP="002827A9">
      <w:r>
        <w:tab/>
        <w:t>(5)</w:t>
      </w:r>
      <w:r>
        <w:tab/>
        <w:t>An order requiring the defendant to receive professional domestic violence counseling</w:t>
      </w:r>
      <w:r>
        <w:rPr>
          <w:u w:val="single"/>
        </w:rPr>
        <w:t>, including but not limited to a Batterers’ Intervention Program as set forth in section 2 of P.L.</w:t>
      </w:r>
      <w:r w:rsidR="00473D2A">
        <w:rPr>
          <w:u w:val="single"/>
        </w:rPr>
        <w:t>    </w:t>
      </w:r>
      <w:r>
        <w:rPr>
          <w:u w:val="single"/>
        </w:rPr>
        <w:t>,</w:t>
      </w:r>
      <w:r w:rsidR="00473D2A">
        <w:rPr>
          <w:u w:val="single"/>
        </w:rPr>
        <w:t> </w:t>
      </w:r>
      <w:r>
        <w:rPr>
          <w:u w:val="single"/>
        </w:rPr>
        <w:t>c.</w:t>
      </w:r>
      <w:r w:rsidR="00473D2A">
        <w:rPr>
          <w:u w:val="single"/>
        </w:rPr>
        <w:t>   </w:t>
      </w:r>
      <w:r>
        <w:rPr>
          <w:u w:val="single"/>
        </w:rPr>
        <w:t>(C.</w:t>
      </w:r>
      <w:r w:rsidR="00473D2A">
        <w:rPr>
          <w:u w:val="single"/>
        </w:rPr>
        <w:t>        </w:t>
      </w:r>
      <w:r>
        <w:rPr>
          <w:u w:val="single"/>
        </w:rPr>
        <w:t>)</w:t>
      </w:r>
      <w:r w:rsidR="00473D2A">
        <w:rPr>
          <w:u w:val="single"/>
        </w:rPr>
        <w:t> </w:t>
      </w:r>
      <w:r>
        <w:rPr>
          <w:u w:val="single"/>
        </w:rPr>
        <w:t>(pending before the Legislature as this bill),</w:t>
      </w:r>
      <w:r>
        <w:t xml:space="preserve">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2827A9" w:rsidRDefault="002827A9" w:rsidP="002827A9">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2827A9" w:rsidRDefault="002827A9" w:rsidP="002827A9">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2827A9" w:rsidRDefault="002827A9" w:rsidP="002827A9">
      <w:r>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2827A9" w:rsidRDefault="002827A9" w:rsidP="002827A9">
      <w:r>
        <w:tab/>
        <w:t>(9)</w:t>
      </w:r>
      <w:r>
        <w:tab/>
        <w:t>An order granting either party temporary possession of specified personal property, such as an automobile, checkbook, documentation of health insurance, an identification document, a key, and other personal effects.</w:t>
      </w:r>
    </w:p>
    <w:p w:rsidR="002827A9" w:rsidRDefault="002827A9" w:rsidP="00473D2A">
      <w:pPr>
        <w:tabs>
          <w:tab w:val="clear" w:pos="720"/>
          <w:tab w:val="left" w:pos="900"/>
        </w:tabs>
      </w:pPr>
      <w:r>
        <w:tab/>
        <w:t>(10)</w:t>
      </w:r>
      <w:r w:rsidR="00473D2A">
        <w:tab/>
      </w:r>
      <w:r>
        <w:t>An order awarding emergency monetary relief, including emergency support for minor children, to the victim and other dependents, if any.  An ongoing obligation of support shall be determined at a later date pursuant to applicable law.</w:t>
      </w:r>
    </w:p>
    <w:p w:rsidR="002827A9" w:rsidRDefault="002827A9" w:rsidP="00473D2A">
      <w:pPr>
        <w:tabs>
          <w:tab w:val="left" w:pos="900"/>
        </w:tabs>
      </w:pPr>
      <w:r>
        <w:tab/>
        <w:t>(11)</w:t>
      </w:r>
      <w:r w:rsidR="00473D2A">
        <w:tab/>
      </w:r>
      <w:r>
        <w:t>An order awarding temporary custody of a minor child.  The court shall presume that the best interests of the child are served by an award of custody to the non-abusive parent.</w:t>
      </w:r>
    </w:p>
    <w:p w:rsidR="002827A9" w:rsidRDefault="002827A9" w:rsidP="00473D2A">
      <w:pPr>
        <w:tabs>
          <w:tab w:val="clear" w:pos="720"/>
          <w:tab w:val="left" w:pos="900"/>
        </w:tabs>
      </w:pPr>
      <w:r>
        <w:tab/>
        <w:t>(12)</w:t>
      </w:r>
      <w:r w:rsidR="00473D2A">
        <w:tab/>
      </w:r>
      <w:r>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2827A9" w:rsidRDefault="002827A9" w:rsidP="00473D2A">
      <w:pPr>
        <w:tabs>
          <w:tab w:val="clear" w:pos="720"/>
          <w:tab w:val="left" w:pos="900"/>
        </w:tabs>
      </w:pPr>
      <w:r>
        <w:tab/>
        <w:t>(13)</w:t>
      </w:r>
      <w:r w:rsidR="00473D2A">
        <w:tab/>
      </w:r>
      <w:r>
        <w:t>(Deleted by amendment, P.L.1995, c.242).</w:t>
      </w:r>
    </w:p>
    <w:p w:rsidR="002827A9" w:rsidRDefault="002827A9" w:rsidP="00473D2A">
      <w:pPr>
        <w:tabs>
          <w:tab w:val="clear" w:pos="720"/>
          <w:tab w:val="clear" w:pos="1440"/>
          <w:tab w:val="left" w:pos="900"/>
          <w:tab w:val="left" w:pos="1620"/>
        </w:tabs>
      </w:pPr>
      <w:r>
        <w:tab/>
        <w:t>(14)</w:t>
      </w:r>
      <w:r w:rsidR="00473D2A">
        <w:tab/>
      </w:r>
      <w:r>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2827A9" w:rsidRDefault="002827A9" w:rsidP="00473D2A">
      <w:pPr>
        <w:tabs>
          <w:tab w:val="clear" w:pos="720"/>
          <w:tab w:val="left" w:pos="900"/>
        </w:tabs>
      </w:pPr>
      <w:r>
        <w:tab/>
        <w:t>(15)</w:t>
      </w:r>
      <w:r w:rsidR="00473D2A">
        <w:tab/>
      </w:r>
      <w:r>
        <w:t>An order that requires that the defendant report to the intake unit of the Family Part of the Chancery Division of the Superior Court for monitoring of any other provision of the order.</w:t>
      </w:r>
    </w:p>
    <w:p w:rsidR="002827A9" w:rsidRDefault="002827A9" w:rsidP="00473D2A">
      <w:pPr>
        <w:tabs>
          <w:tab w:val="clear" w:pos="720"/>
          <w:tab w:val="left" w:pos="900"/>
        </w:tabs>
      </w:pPr>
      <w:r>
        <w:tab/>
        <w:t>(16)</w:t>
      </w:r>
      <w:r w:rsidR="00473D2A">
        <w:tab/>
      </w:r>
      <w:r>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2827A9" w:rsidRDefault="002827A9" w:rsidP="00473D2A">
      <w:pPr>
        <w:tabs>
          <w:tab w:val="clear" w:pos="720"/>
          <w:tab w:val="left" w:pos="900"/>
        </w:tabs>
      </w:pPr>
      <w:r>
        <w:tab/>
        <w:t>(17)</w:t>
      </w:r>
      <w:r w:rsidR="00473D2A">
        <w:tab/>
      </w:r>
      <w:r>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2827A9" w:rsidRDefault="002827A9" w:rsidP="00473D2A">
      <w:pPr>
        <w:tabs>
          <w:tab w:val="clear" w:pos="720"/>
          <w:tab w:val="left" w:pos="900"/>
        </w:tabs>
      </w:pPr>
      <w:r>
        <w:tab/>
        <w:t>(18)</w:t>
      </w:r>
      <w:r w:rsidR="00473D2A">
        <w:tab/>
      </w:r>
      <w:r>
        <w:t>An order requiring the defendant to undergo a psychiatric evaluation.</w:t>
      </w:r>
    </w:p>
    <w:p w:rsidR="002827A9" w:rsidRDefault="002827A9" w:rsidP="00473D2A">
      <w:pPr>
        <w:tabs>
          <w:tab w:val="clear" w:pos="720"/>
          <w:tab w:val="left" w:pos="900"/>
        </w:tabs>
      </w:pPr>
      <w:r>
        <w:tab/>
        <w:t>(19)</w:t>
      </w:r>
      <w:r w:rsidR="00473D2A">
        <w:tab/>
      </w:r>
      <w:r>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2827A9" w:rsidRDefault="002827A9" w:rsidP="002827A9">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2827A9" w:rsidRDefault="002827A9" w:rsidP="002827A9">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2827A9" w:rsidRDefault="002827A9" w:rsidP="002827A9">
      <w:r>
        <w:tab/>
        <w:t>e.</w:t>
      </w:r>
      <w:r>
        <w:tab/>
        <w:t xml:space="preserve">Prior to the issuance of any order pursuant to this section, the court shall order that a search be made of the domestic violence central registry.  </w:t>
      </w:r>
    </w:p>
    <w:p w:rsidR="002827A9" w:rsidRDefault="002827A9" w:rsidP="002827A9">
      <w:r>
        <w:t>(</w:t>
      </w:r>
      <w:proofErr w:type="spellStart"/>
      <w:r>
        <w:t>cf</w:t>
      </w:r>
      <w:proofErr w:type="spellEnd"/>
      <w:r>
        <w:t>: P.L.2016, c.91, s.3)</w:t>
      </w:r>
    </w:p>
    <w:p w:rsidR="002827A9" w:rsidRDefault="002827A9" w:rsidP="002827A9"/>
    <w:p w:rsidR="002827A9" w:rsidRDefault="002827A9" w:rsidP="00473D2A">
      <w:pPr>
        <w:tabs>
          <w:tab w:val="clear" w:pos="2160"/>
          <w:tab w:val="left" w:pos="2340"/>
        </w:tabs>
      </w:pPr>
      <w:r>
        <w:tab/>
        <w:t>2.</w:t>
      </w:r>
      <w:r>
        <w:tab/>
        <w:t>(New section)</w:t>
      </w:r>
      <w:r w:rsidR="00473D2A">
        <w:tab/>
      </w:r>
      <w:r>
        <w:t xml:space="preserve">Any </w:t>
      </w:r>
      <w:r w:rsidRPr="00207F6A">
        <w:t xml:space="preserve">Batterers’ Intervention Program </w:t>
      </w:r>
      <w:r>
        <w:t xml:space="preserve">in which a defendant participates based on a court order issued </w:t>
      </w:r>
      <w:r w:rsidRPr="00207F6A">
        <w:t xml:space="preserve">pursuant to paragraph (5) of subsection b. of section 13 of P.L.1991, c.261 (C.2C:25-29) </w:t>
      </w:r>
      <w:r>
        <w:t>shall contain the following components:</w:t>
      </w:r>
    </w:p>
    <w:p w:rsidR="002827A9" w:rsidRDefault="002827A9" w:rsidP="002827A9">
      <w:r>
        <w:tab/>
        <w:t>a.</w:t>
      </w:r>
      <w:r>
        <w:tab/>
        <w:t>Periodic, ongoing risk assessments to protect the safety of the victim and any children;</w:t>
      </w:r>
    </w:p>
    <w:p w:rsidR="002827A9" w:rsidRDefault="002827A9" w:rsidP="002827A9">
      <w:r>
        <w:tab/>
        <w:t>b.</w:t>
      </w:r>
      <w:r>
        <w:tab/>
        <w:t>Offender accountability for their acts of domestic violence as a central component of the program, requiring that offenders be held accountable for their behavior, and provided with services geared towards behavioral change;</w:t>
      </w:r>
    </w:p>
    <w:p w:rsidR="002827A9" w:rsidRDefault="002827A9" w:rsidP="002827A9">
      <w:r>
        <w:tab/>
        <w:t>c.</w:t>
      </w:r>
      <w:r>
        <w:tab/>
        <w:t>Information and education concerning the tactics of power and control and the understanding of domestic violence as a domination and control issue;</w:t>
      </w:r>
    </w:p>
    <w:p w:rsidR="002827A9" w:rsidRDefault="002827A9" w:rsidP="002827A9">
      <w:r>
        <w:tab/>
        <w:t>d.</w:t>
      </w:r>
      <w:r>
        <w:tab/>
        <w:t>A swift and certain compliance protocol, including a prompt and effective review by the court for noncompliance; and</w:t>
      </w:r>
    </w:p>
    <w:p w:rsidR="002827A9" w:rsidRPr="00207F6A" w:rsidRDefault="002827A9" w:rsidP="002827A9">
      <w:r>
        <w:tab/>
        <w:t>e.</w:t>
      </w:r>
      <w:r>
        <w:tab/>
        <w:t xml:space="preserve">Regular reviews of the program and compliance audits by the courts and designated domestic violence advocacy groups.  </w:t>
      </w:r>
    </w:p>
    <w:p w:rsidR="002827A9" w:rsidRPr="00207F6A" w:rsidRDefault="002827A9" w:rsidP="002827A9"/>
    <w:p w:rsidR="002827A9" w:rsidRPr="00E7752C" w:rsidRDefault="002827A9" w:rsidP="002827A9">
      <w:r>
        <w:tab/>
        <w:t>3.</w:t>
      </w:r>
      <w:r>
        <w:tab/>
        <w:t>This act shall take effect immediately.</w:t>
      </w:r>
    </w:p>
    <w:p w:rsidR="002827A9" w:rsidRDefault="002827A9" w:rsidP="002827A9"/>
    <w:p w:rsidR="00E7752C" w:rsidRDefault="00E7752C" w:rsidP="00E7752C"/>
    <w:p w:rsidR="00941922" w:rsidRDefault="00941922" w:rsidP="00941922">
      <w:pPr>
        <w:jc w:val="center"/>
      </w:pPr>
      <w:r>
        <w:t>STATEMENT</w:t>
      </w:r>
    </w:p>
    <w:p w:rsidR="00941922" w:rsidRDefault="00941922" w:rsidP="00E7752C"/>
    <w:p w:rsidR="00941922" w:rsidRPr="00941922" w:rsidRDefault="00941922" w:rsidP="00941922">
      <w:r w:rsidRPr="00941922">
        <w:tab/>
        <w:t>Under current law, as part of a final restraining order issued by the court in a domestic violence matter, the court may order the defendant to receive professional domestic violence counseling from either a private source or a source appointed by the court and, in that event, require the defendant to provide the court with documentation of attendance. This bill specifies that the professional domestic violence counseling ordered by the court may consist of a Batterers’ Intervention Program, and the bill establishes standards for such programs.</w:t>
      </w:r>
    </w:p>
    <w:p w:rsidR="00941922" w:rsidRPr="00941922" w:rsidRDefault="00941922" w:rsidP="00941922">
      <w:r w:rsidRPr="00941922">
        <w:tab/>
        <w:t>Under the bill, any Batterers’ Intervention Program in which a defendant participates based on a court order issued in a domestic violence matter would be required to have the following components:</w:t>
      </w:r>
    </w:p>
    <w:p w:rsidR="00941922" w:rsidRPr="00941922" w:rsidRDefault="00941922" w:rsidP="00941922">
      <w:r w:rsidRPr="00941922">
        <w:tab/>
        <w:t>(1)</w:t>
      </w:r>
      <w:r w:rsidR="00473D2A">
        <w:tab/>
      </w:r>
      <w:r w:rsidRPr="00941922">
        <w:t>Periodic, ongoing risk assessments to protect the safety of the victim and any children;</w:t>
      </w:r>
    </w:p>
    <w:p w:rsidR="00941922" w:rsidRPr="00941922" w:rsidRDefault="00941922" w:rsidP="00941922">
      <w:r w:rsidRPr="00941922">
        <w:tab/>
        <w:t>(2)</w:t>
      </w:r>
      <w:r w:rsidR="00473D2A">
        <w:tab/>
      </w:r>
      <w:r w:rsidRPr="00941922">
        <w:t>Offender accountability for their acts of domestic violence as a central component of the program, requiring that offenders be held accountable for their behavior, and provided with services geared towards behavioral change;</w:t>
      </w:r>
    </w:p>
    <w:p w:rsidR="00941922" w:rsidRPr="00941922" w:rsidRDefault="00941922" w:rsidP="00941922">
      <w:r w:rsidRPr="00941922">
        <w:tab/>
        <w:t>(3)</w:t>
      </w:r>
      <w:r w:rsidR="00473D2A">
        <w:tab/>
      </w:r>
      <w:r w:rsidRPr="00941922">
        <w:t>Information and education concerning the tactics of power and control and the understanding of domestic violence as a domination and control issue;</w:t>
      </w:r>
    </w:p>
    <w:p w:rsidR="00941922" w:rsidRPr="00941922" w:rsidRDefault="00941922" w:rsidP="00941922">
      <w:r w:rsidRPr="00941922">
        <w:tab/>
        <w:t>(4)</w:t>
      </w:r>
      <w:r w:rsidR="00473D2A">
        <w:tab/>
      </w:r>
      <w:r w:rsidRPr="00941922">
        <w:t>A swift and certain compliance protocol, including a prompt and effective review by the court for noncompliance; and</w:t>
      </w:r>
    </w:p>
    <w:p w:rsidR="00941922" w:rsidRPr="00941922" w:rsidRDefault="00941922" w:rsidP="00941922">
      <w:r w:rsidRPr="00941922">
        <w:tab/>
        <w:t>(5)</w:t>
      </w:r>
      <w:r w:rsidR="00473D2A">
        <w:tab/>
      </w:r>
      <w:r w:rsidRPr="00941922">
        <w:t xml:space="preserve">Regular reviews of the program and compliance audits by the courts and designated domestic violence advocacy groups.  </w:t>
      </w:r>
    </w:p>
    <w:p w:rsidR="00941922" w:rsidRPr="00941922" w:rsidRDefault="00941922" w:rsidP="00941922">
      <w:r w:rsidRPr="00941922">
        <w:tab/>
        <w:t>This bill embodies recommendation 18 of the Report of the Supreme Court Ad Hoc Committee on Domestic Violence issued June 2016.</w:t>
      </w:r>
    </w:p>
    <w:sectPr w:rsidR="00941922" w:rsidRPr="00941922" w:rsidSect="00473D2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DDC" w:rsidRDefault="00C82DDC">
      <w:r>
        <w:separator/>
      </w:r>
    </w:p>
  </w:endnote>
  <w:endnote w:type="continuationSeparator" w:id="0">
    <w:p w:rsidR="00C82DDC" w:rsidRDefault="00C82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734" w:rsidRDefault="00015ED5" w:rsidP="00015ED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2A" w:rsidRPr="00921C91" w:rsidRDefault="00473D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3D2A" w:rsidRPr="00921C91" w:rsidRDefault="00473D2A">
    <w:pPr>
      <w:pStyle w:val="Footer"/>
      <w:rPr>
        <w:szCs w:val="18"/>
      </w:rPr>
    </w:pPr>
  </w:p>
  <w:p w:rsidR="00473D2A" w:rsidRPr="00921C91" w:rsidRDefault="00473D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DDC" w:rsidRDefault="00C82DDC">
      <w:r>
        <w:separator/>
      </w:r>
    </w:p>
  </w:footnote>
  <w:footnote w:type="continuationSeparator" w:id="0">
    <w:p w:rsidR="00C82DDC" w:rsidRDefault="00C82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5F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3D2A" w:rsidRDefault="00473D2A" w:rsidP="00473D2A">
    <w:pPr>
      <w:pStyle w:val="bpuHeadSpon"/>
    </w:pPr>
    <w:r w:rsidRPr="00473D2A">
      <w:rPr>
        <w:rStyle w:val="bpuHeadSponChar"/>
      </w:rPr>
      <w:t>S383</w:t>
    </w:r>
    <w:r>
      <w:t xml:space="preserve"> WEINBERG, SINGLETON</w:t>
    </w:r>
  </w:p>
  <w:p w:rsidR="00473D2A" w:rsidRDefault="00473D2A" w:rsidP="00473D2A">
    <w:pPr>
      <w:pStyle w:val="bpuHeadSpon"/>
    </w:pPr>
    <w:r>
      <w:fldChar w:fldCharType="begin"/>
    </w:r>
    <w:r>
      <w:instrText xml:space="preserve"> PAGE  \* MERGEFORMAT </w:instrText>
    </w:r>
    <w:r>
      <w:fldChar w:fldCharType="separate"/>
    </w:r>
    <w:r w:rsidR="00A209AC">
      <w:rPr>
        <w:noProof/>
      </w:rPr>
      <w:t>7</w:t>
    </w:r>
    <w:r>
      <w:fldChar w:fldCharType="end"/>
    </w:r>
  </w:p>
  <w:p w:rsidR="00473D2A" w:rsidRPr="00AF575C" w:rsidRDefault="00473D2A" w:rsidP="00473D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3D2A" w:rsidRDefault="00473D2A" w:rsidP="00473D2A">
    <w:pPr>
      <w:pStyle w:val="bpuHeadSpon"/>
    </w:pPr>
    <w:r w:rsidRPr="00473D2A">
      <w:rPr>
        <w:rStyle w:val="bpuHeadSponChar"/>
      </w:rPr>
      <w:t>S383</w:t>
    </w:r>
    <w:r>
      <w:t xml:space="preserve"> WEINBERG, SINGLETON</w:t>
    </w:r>
  </w:p>
  <w:p w:rsidR="00473D2A" w:rsidRDefault="00473D2A" w:rsidP="00473D2A">
    <w:pPr>
      <w:pStyle w:val="bpuHeadSpon"/>
    </w:pPr>
    <w:r>
      <w:fldChar w:fldCharType="begin"/>
    </w:r>
    <w:r>
      <w:instrText xml:space="preserve"> PAGE  \* MERGEFORMAT </w:instrText>
    </w:r>
    <w:r>
      <w:fldChar w:fldCharType="separate"/>
    </w:r>
    <w:r w:rsidR="00E736D1">
      <w:rPr>
        <w:noProof/>
      </w:rPr>
      <w:t>2</w:t>
    </w:r>
    <w:r>
      <w:fldChar w:fldCharType="end"/>
    </w:r>
  </w:p>
  <w:p w:rsidR="00473D2A" w:rsidRDefault="00473D2A" w:rsidP="00473D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DC"/>
    <w:rsid w:val="00000169"/>
    <w:rsid w:val="00004D4D"/>
    <w:rsid w:val="00007B70"/>
    <w:rsid w:val="00007DDD"/>
    <w:rsid w:val="00010512"/>
    <w:rsid w:val="00011BAB"/>
    <w:rsid w:val="000154F3"/>
    <w:rsid w:val="00015ED5"/>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5C0"/>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2CF"/>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A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624"/>
    <w:rsid w:val="0043769C"/>
    <w:rsid w:val="0044404C"/>
    <w:rsid w:val="00470114"/>
    <w:rsid w:val="00470ABF"/>
    <w:rsid w:val="00473D2A"/>
    <w:rsid w:val="0047573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F9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92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9AC"/>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6A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DD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64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1C4"/>
    <w:rsid w:val="00DC75BA"/>
    <w:rsid w:val="00DD1E46"/>
    <w:rsid w:val="00DF4E47"/>
    <w:rsid w:val="00E0012A"/>
    <w:rsid w:val="00E025E4"/>
    <w:rsid w:val="00E03582"/>
    <w:rsid w:val="00E05DFC"/>
    <w:rsid w:val="00E33D7F"/>
    <w:rsid w:val="00E44D94"/>
    <w:rsid w:val="00E500AD"/>
    <w:rsid w:val="00E53E99"/>
    <w:rsid w:val="00E66E37"/>
    <w:rsid w:val="00E73613"/>
    <w:rsid w:val="00E736D1"/>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89E4E1"/>
  <w15:docId w15:val="{541FAB86-EE60-4F96-BABC-0FA98928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19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922"/>
    <w:rPr>
      <w:rFonts w:ascii="Segoe UI" w:hAnsi="Segoe UI" w:cs="Segoe UI"/>
      <w:spacing w:val="4"/>
      <w:sz w:val="18"/>
      <w:szCs w:val="18"/>
    </w:rPr>
  </w:style>
  <w:style w:type="character" w:styleId="LineNumber">
    <w:name w:val="line number"/>
    <w:basedOn w:val="DefaultParagraphFont"/>
    <w:semiHidden/>
    <w:unhideWhenUsed/>
    <w:rsid w:val="0047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2A3DF-3DA7-4880-84A5-09CB3E21F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2701</Words>
  <Characters>13877</Characters>
  <Application>Microsoft Office Word</Application>
  <DocSecurity>0</DocSecurity>
  <Lines>309</Lines>
  <Paragraphs>69</Paragraphs>
  <ScaleCrop>false</ScaleCrop>
  <HeadingPairs>
    <vt:vector size="2" baseType="variant">
      <vt:variant>
        <vt:lpstr>Title</vt:lpstr>
      </vt:variant>
      <vt:variant>
        <vt:i4>1</vt:i4>
      </vt:variant>
    </vt:vector>
  </HeadingPairs>
  <TitlesOfParts>
    <vt:vector size="1" baseType="lpstr">
      <vt:lpstr>S383</vt:lpstr>
    </vt:vector>
  </TitlesOfParts>
  <Manager>R224</Manager>
  <Company>OFFICE of LEGISLATIVE SERVICES</Company>
  <LinksUpToDate>false</LinksUpToDate>
  <CharactersWithSpaces>16624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dc:title>
  <dc:creator>Senator  WEINBERG, Senator  SINGLETON</dc:creator>
  <cp:keywords>S383|7|ER |65|0|0|!|0|</cp:keywords>
  <dc:description>PREFILED 2020</dc:description>
  <cp:lastModifiedBy>Todaro, Vivian</cp:lastModifiedBy>
  <cp:revision>2</cp:revision>
  <cp:lastPrinted>2021-06-22T13:08:00Z</cp:lastPrinted>
  <dcterms:created xsi:type="dcterms:W3CDTF">2021-06-22T13:09:00Z</dcterms:created>
  <dcterms:modified xsi:type="dcterms:W3CDTF">2021-06-22T13:09:00Z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