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ADB" w:rsidRDefault="00500ADB" w:rsidP="00500ADB">
      <w:pPr>
        <w:pStyle w:val="bpuBill"/>
      </w:pPr>
      <w:bookmarkStart w:id="0" w:name="bpuFrontPg"/>
      <w:bookmarkEnd w:id="0"/>
      <w:r>
        <w:t xml:space="preserve">SENATE, No. 396 </w:t>
      </w:r>
    </w:p>
    <w:p w:rsidR="00500ADB" w:rsidRPr="00500ADB" w:rsidRDefault="00500ADB" w:rsidP="00500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65816957" r:id="rId8"/>
        </w:object>
      </w:r>
    </w:p>
    <w:p w:rsidR="00500ADB" w:rsidRDefault="00500ADB" w:rsidP="00500ADB">
      <w:pPr>
        <w:pStyle w:val="bpuState"/>
      </w:pPr>
      <w:r>
        <w:t>STATE OF NEW JERSEY</w:t>
      </w:r>
    </w:p>
    <w:p w:rsidR="00500ADB" w:rsidRDefault="00500ADB" w:rsidP="00500ADB">
      <w:pPr>
        <w:pStyle w:val="bpuLegislature"/>
      </w:pPr>
      <w:r>
        <w:t>219th LEGISLATURE</w:t>
      </w:r>
    </w:p>
    <w:p w:rsidR="00500ADB" w:rsidRDefault="00500ADB" w:rsidP="00500ADB">
      <w:pPr>
        <w:pStyle w:val="bpuWpGraphic"/>
      </w:pPr>
      <w:r>
        <w:object w:dxaOrig="8985" w:dyaOrig="255">
          <v:shape id="_x0000_i1026" type="#_x0000_t75" style="width:6in;height:11.4pt" o:ole="">
            <v:imagedata r:id="rId7" o:title=""/>
          </v:shape>
          <o:OLEObject Type="Embed" ProgID="WPWin6.1" ShapeID="_x0000_i1026" DrawAspect="Content" ObjectID="_1665816958" r:id="rId9"/>
        </w:object>
      </w:r>
      <w:r>
        <w:t xml:space="preserve">  </w:t>
      </w:r>
    </w:p>
    <w:p w:rsidR="00500ADB" w:rsidRDefault="00500ADB" w:rsidP="00500ADB">
      <w:pPr>
        <w:pStyle w:val="bpuIntro"/>
      </w:pPr>
      <w:r>
        <w:t>PRE-FILED FOR INTRODUCTION IN THE 2020 SESSION</w:t>
      </w:r>
    </w:p>
    <w:p w:rsidR="00500ADB" w:rsidRDefault="00500ADB" w:rsidP="00500ADB">
      <w:pPr>
        <w:pStyle w:val="bpuIntro"/>
      </w:pPr>
    </w:p>
    <w:p w:rsidR="00500ADB" w:rsidRDefault="00500ADB" w:rsidP="00500ADB">
      <w:pPr>
        <w:pStyle w:val="bpuIntro"/>
        <w:sectPr w:rsidR="00500ADB" w:rsidSect="00AA60E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00ADB" w:rsidRDefault="00500ADB" w:rsidP="00500ADB">
      <w:pPr>
        <w:pStyle w:val="bpuIntro"/>
      </w:pPr>
    </w:p>
    <w:p w:rsidR="00500ADB" w:rsidRDefault="00500ADB" w:rsidP="00500ADB">
      <w:pPr>
        <w:pStyle w:val="bpuSponsor"/>
      </w:pPr>
      <w:r>
        <w:t>Sponsored by:</w:t>
      </w:r>
    </w:p>
    <w:p w:rsidR="00500ADB" w:rsidRDefault="00500ADB" w:rsidP="00500ADB">
      <w:pPr>
        <w:pStyle w:val="bpuSponsor"/>
      </w:pPr>
      <w:r>
        <w:t>Senator  LORETTA WEINBERG</w:t>
      </w:r>
    </w:p>
    <w:p w:rsidR="00500ADB" w:rsidRDefault="00500ADB" w:rsidP="00500ADB">
      <w:pPr>
        <w:pStyle w:val="bpuSponsor"/>
      </w:pPr>
      <w:r>
        <w:t>District 37 (Bergen)</w:t>
      </w:r>
    </w:p>
    <w:p w:rsidR="00500ADB" w:rsidRDefault="00AA60ED" w:rsidP="00AA60ED">
      <w:pPr>
        <w:pStyle w:val="bpuSponsor"/>
      </w:pPr>
      <w:r>
        <w:t>Senator  DAWN MARIE ADDIEGO</w:t>
      </w:r>
    </w:p>
    <w:p w:rsidR="00AA60ED" w:rsidRDefault="00AA60ED" w:rsidP="00AA60ED">
      <w:pPr>
        <w:pStyle w:val="bpuSponsor"/>
      </w:pPr>
      <w:r>
        <w:t>District 8 (Atlantic, Burlington and Camden)</w:t>
      </w:r>
    </w:p>
    <w:p w:rsidR="00AA60ED" w:rsidRPr="00AA60ED" w:rsidRDefault="00AA60ED" w:rsidP="00AA60ED">
      <w:pPr>
        <w:pStyle w:val="bpuSponsor"/>
      </w:pPr>
    </w:p>
    <w:p w:rsidR="00500ADB" w:rsidRDefault="00500ADB" w:rsidP="00500ADB">
      <w:pPr>
        <w:pStyle w:val="bpuSponsor"/>
      </w:pPr>
    </w:p>
    <w:p w:rsidR="00500ADB" w:rsidRDefault="00500ADB" w:rsidP="00500ADB">
      <w:pPr>
        <w:pStyle w:val="bpuSponsor"/>
      </w:pPr>
      <w:bookmarkStart w:id="1" w:name="_GoBack"/>
      <w:bookmarkEnd w:id="1"/>
    </w:p>
    <w:p w:rsidR="00500ADB" w:rsidRDefault="00500ADB" w:rsidP="00500ADB">
      <w:pPr>
        <w:pStyle w:val="bpuSponsor"/>
      </w:pPr>
    </w:p>
    <w:p w:rsidR="00500ADB" w:rsidRDefault="00500ADB" w:rsidP="00500ADB">
      <w:pPr>
        <w:pStyle w:val="bpuSponsor"/>
      </w:pPr>
      <w:r>
        <w:t>SYNOPSIS</w:t>
      </w:r>
    </w:p>
    <w:p w:rsidR="00500ADB" w:rsidRDefault="00500ADB" w:rsidP="00500ADB">
      <w:pPr>
        <w:pStyle w:val="bpuNormText"/>
      </w:pPr>
      <w:r>
        <w:tab/>
        <w:t xml:space="preserve">Adjusts statute of limitations on damage claim for construction defect in common interest community. </w:t>
      </w:r>
    </w:p>
    <w:p w:rsidR="00500ADB" w:rsidRDefault="00500ADB" w:rsidP="00500ADB">
      <w:pPr>
        <w:pStyle w:val="bpuNormText"/>
      </w:pPr>
    </w:p>
    <w:p w:rsidR="00500ADB" w:rsidRDefault="00500ADB" w:rsidP="00500ADB">
      <w:pPr>
        <w:pStyle w:val="bpuSponsor"/>
      </w:pPr>
      <w:r>
        <w:t xml:space="preserve">CURRENT VERSION OF TEXT </w:t>
      </w:r>
    </w:p>
    <w:p w:rsidR="00500ADB" w:rsidRDefault="008E2EA8" w:rsidP="00500ADB">
      <w:pPr>
        <w:pStyle w:val="bpuNormText"/>
      </w:pPr>
      <w:r>
        <w:tab/>
        <w:t>As reported by the Senate Community and Urban Affairs Committee with technical review.</w:t>
      </w:r>
    </w:p>
    <w:p w:rsidR="00500ADB" w:rsidRDefault="00500ADB" w:rsidP="00500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0ADB" w:rsidRDefault="00500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0ADB" w:rsidSect="00500ADB">
          <w:type w:val="continuous"/>
          <w:pgSz w:w="12240" w:h="20160" w:code="5"/>
          <w:pgMar w:top="2160" w:right="2275" w:bottom="1440" w:left="2275" w:header="72" w:footer="720" w:gutter="0"/>
          <w:pgNumType w:start="1"/>
          <w:cols w:space="720"/>
          <w:docGrid w:linePitch="360"/>
        </w:sectPr>
      </w:pPr>
    </w:p>
    <w:p w:rsidR="007F4E78" w:rsidRPr="00677316" w:rsidRDefault="007F4E78" w:rsidP="007F4E78">
      <w:pPr>
        <w:pStyle w:val="HangingAnAct"/>
        <w:rPr>
          <w:rStyle w:val="HangingAnActChar"/>
        </w:rPr>
      </w:pPr>
      <w:r w:rsidRPr="007F4E78">
        <w:rPr>
          <w:rStyle w:val="BillHead"/>
        </w:rPr>
        <w:lastRenderedPageBreak/>
        <w:t>An Act</w:t>
      </w:r>
      <w:r w:rsidRPr="006B7FA7">
        <w:rPr>
          <w:rStyle w:val="HangingAnActChar"/>
        </w:rPr>
        <w:t xml:space="preserve"> </w:t>
      </w:r>
      <w:r>
        <w:t>concerning construction defects in common interest communities and amending N.J.S.2A:14-1.</w:t>
      </w:r>
    </w:p>
    <w:p w:rsidR="007F4E78" w:rsidRPr="00D71D68" w:rsidRDefault="007F4E78" w:rsidP="007F4E78"/>
    <w:p w:rsidR="007F4E78" w:rsidRPr="00AA7880" w:rsidRDefault="007F4E78" w:rsidP="007F4E78">
      <w:r>
        <w:tab/>
      </w:r>
      <w:r>
        <w:rPr>
          <w:rStyle w:val="BillHeading2"/>
        </w:rPr>
        <w:t xml:space="preserve">Be It Enacted </w:t>
      </w:r>
      <w:r>
        <w:rPr>
          <w:rStyle w:val="BillLanguage"/>
        </w:rPr>
        <w:t>by the Senate and General Assembly of the State of New Jersey:</w:t>
      </w:r>
    </w:p>
    <w:p w:rsidR="007F4E78" w:rsidRPr="00D71D68" w:rsidRDefault="007F4E78" w:rsidP="007F4E78"/>
    <w:p w:rsidR="007F4E78" w:rsidRDefault="007F4E78" w:rsidP="007F4E78">
      <w:r>
        <w:tab/>
        <w:t>1.</w:t>
      </w:r>
      <w:r>
        <w:tab/>
        <w:t>N.J.S.2A:14-1 is amended to read as follows:</w:t>
      </w:r>
    </w:p>
    <w:p w:rsidR="007F4E78" w:rsidRDefault="007F4E78" w:rsidP="007F4E78">
      <w:r>
        <w:tab/>
        <w:t xml:space="preserve">2A:14-1.  </w:t>
      </w:r>
      <w:r>
        <w:rPr>
          <w:u w:val="single"/>
        </w:rPr>
        <w:t>a.</w:t>
      </w:r>
      <w:r>
        <w:t xml:space="preserve">  Every action at law for trespass to real property, for any tortious injury to real or personal property, for taking, detaining, or converting personal property, for replevin of goods or chattels, for any tortious injury to the rights of another not stated in </w:t>
      </w:r>
      <w:r w:rsidRPr="00BF0104">
        <w:rPr>
          <w:rFonts w:ascii="Albertus Extra Bold" w:hAnsi="Albertus Extra Bold"/>
          <w:b/>
        </w:rPr>
        <w:t>[</w:t>
      </w:r>
      <w:r>
        <w:t>sections 2A:14-2 and 2A:14-3 of this Title</w:t>
      </w:r>
      <w:r w:rsidRPr="00BF0104">
        <w:rPr>
          <w:rFonts w:ascii="Albertus Extra Bold" w:hAnsi="Albertus Extra Bold"/>
          <w:b/>
        </w:rPr>
        <w:t>]</w:t>
      </w:r>
      <w:r>
        <w:t xml:space="preserve"> </w:t>
      </w:r>
      <w:r>
        <w:rPr>
          <w:u w:val="single"/>
        </w:rPr>
        <w:t>N.J.S.2A:14-2 and N.J.S.2A:14-3</w:t>
      </w:r>
      <w:r>
        <w:t>, or for recovery upon a contractual claim or liability, express or implied, not under seal, or upon an account other than one which concerns the trade or merchandise between merchant and merchant, their factors, agents and serva</w:t>
      </w:r>
      <w:r w:rsidR="00602B0B">
        <w:t>nts, shall be commenced within six</w:t>
      </w:r>
      <w:r>
        <w:t xml:space="preserve"> years next after the cause of any such action shall have accrued.</w:t>
      </w:r>
    </w:p>
    <w:p w:rsidR="007F4E78" w:rsidRDefault="007F4E78" w:rsidP="007F4E78">
      <w:r>
        <w:tab/>
      </w:r>
      <w:r>
        <w:rPr>
          <w:u w:val="single"/>
        </w:rPr>
        <w:t>b.</w:t>
      </w:r>
      <w:r>
        <w:tab/>
        <w:t xml:space="preserve">This section shall not apply to any action for breach of any contract for sale governed by </w:t>
      </w:r>
      <w:r w:rsidRPr="00AC2DD8">
        <w:rPr>
          <w:rFonts w:ascii="Albertus Extra Bold" w:hAnsi="Albertus Extra Bold"/>
          <w:b/>
        </w:rPr>
        <w:t>[</w:t>
      </w:r>
      <w:r>
        <w:t>section 12A:2-725 of the New Jersey Statutes</w:t>
      </w:r>
      <w:r w:rsidRPr="00AC2DD8">
        <w:rPr>
          <w:rFonts w:ascii="Albertus Extra Bold" w:hAnsi="Albertus Extra Bold"/>
          <w:b/>
        </w:rPr>
        <w:t>]</w:t>
      </w:r>
      <w:r>
        <w:t xml:space="preserve"> </w:t>
      </w:r>
      <w:r>
        <w:rPr>
          <w:u w:val="single"/>
        </w:rPr>
        <w:t>N.J.S.12A:2-725</w:t>
      </w:r>
      <w:r>
        <w:t>.</w:t>
      </w:r>
    </w:p>
    <w:p w:rsidR="007F4E78" w:rsidRPr="00E60E29" w:rsidRDefault="007F4E78" w:rsidP="007F4E78">
      <w:pPr>
        <w:rPr>
          <w:u w:val="single"/>
        </w:rPr>
      </w:pPr>
      <w:r>
        <w:tab/>
      </w:r>
      <w:r w:rsidRPr="00473966">
        <w:rPr>
          <w:u w:val="single"/>
        </w:rPr>
        <w:t>c.</w:t>
      </w:r>
      <w:r>
        <w:rPr>
          <w:u w:val="single"/>
        </w:rPr>
        <w:tab/>
      </w:r>
      <w:r w:rsidRPr="00473966">
        <w:rPr>
          <w:u w:val="single"/>
        </w:rPr>
        <w:t>The period</w:t>
      </w:r>
      <w:r w:rsidRPr="001C7B34">
        <w:rPr>
          <w:u w:val="single"/>
        </w:rPr>
        <w:t xml:space="preserve"> of time for the filing of a claim by a condominium association, cooperative corporation</w:t>
      </w:r>
      <w:r w:rsidR="003D7C72">
        <w:rPr>
          <w:u w:val="single"/>
        </w:rPr>
        <w:t>,</w:t>
      </w:r>
      <w:r w:rsidRPr="001C7B34">
        <w:rPr>
          <w:u w:val="single"/>
        </w:rPr>
        <w:t xml:space="preserve"> or </w:t>
      </w:r>
      <w:r>
        <w:rPr>
          <w:u w:val="single"/>
        </w:rPr>
        <w:t xml:space="preserve">other </w:t>
      </w:r>
      <w:r w:rsidRPr="001C7B34">
        <w:rPr>
          <w:u w:val="single"/>
        </w:rPr>
        <w:t xml:space="preserve">planned real estate development association against a developer or any person acting through, on behalf of or at the behest of the developer under </w:t>
      </w:r>
      <w:r>
        <w:rPr>
          <w:u w:val="single"/>
        </w:rPr>
        <w:t>subsection a. of this section</w:t>
      </w:r>
      <w:r w:rsidRPr="001C7B34">
        <w:rPr>
          <w:u w:val="single"/>
        </w:rPr>
        <w:t xml:space="preserve">, shall </w:t>
      </w:r>
      <w:r>
        <w:rPr>
          <w:u w:val="single"/>
        </w:rPr>
        <w:t>be tolled until</w:t>
      </w:r>
      <w:r w:rsidRPr="001C7B34">
        <w:rPr>
          <w:u w:val="single"/>
        </w:rPr>
        <w:t xml:space="preserve"> the date of the transition from developer control, as established pursuant to paragraph (3) of subsection a. of section 5 of P.L.1993, c.30 (C.45:22A-47), or subsection d. of section 2 of P.L.1979, c.157 (C.46:8B-12.1).  Any cause of action involving a condominium, cooperative</w:t>
      </w:r>
      <w:r w:rsidR="003D7C72">
        <w:rPr>
          <w:u w:val="single"/>
        </w:rPr>
        <w:t>,</w:t>
      </w:r>
      <w:r w:rsidR="00AC6AC3">
        <w:rPr>
          <w:u w:val="single"/>
        </w:rPr>
        <w:t xml:space="preserve"> </w:t>
      </w:r>
      <w:r w:rsidRPr="001C7B34">
        <w:rPr>
          <w:u w:val="single"/>
        </w:rPr>
        <w:t xml:space="preserve"> or </w:t>
      </w:r>
      <w:r>
        <w:rPr>
          <w:u w:val="single"/>
        </w:rPr>
        <w:t xml:space="preserve">other </w:t>
      </w:r>
      <w:r w:rsidRPr="001C7B34">
        <w:rPr>
          <w:u w:val="single"/>
        </w:rPr>
        <w:t>planned real estate development</w:t>
      </w:r>
      <w:r>
        <w:rPr>
          <w:u w:val="single"/>
        </w:rPr>
        <w:t xml:space="preserve"> </w:t>
      </w:r>
      <w:r w:rsidRPr="001C7B34">
        <w:rPr>
          <w:u w:val="single"/>
        </w:rPr>
        <w:t>under</w:t>
      </w:r>
      <w:r>
        <w:rPr>
          <w:u w:val="single"/>
        </w:rPr>
        <w:t xml:space="preserve"> the provisions of subsection a. of this section</w:t>
      </w:r>
      <w:r w:rsidRPr="001C7B34">
        <w:rPr>
          <w:u w:val="single"/>
        </w:rPr>
        <w:t xml:space="preserve"> that has not been subject to a final judgment dismissing the claim as of the effective date of </w:t>
      </w:r>
      <w:r>
        <w:rPr>
          <w:u w:val="single"/>
        </w:rPr>
        <w:t>P.L.    , c.    (pending before the Legislature as this bill)</w:t>
      </w:r>
      <w:r w:rsidRPr="001C7B34">
        <w:rPr>
          <w:u w:val="single"/>
        </w:rPr>
        <w:t xml:space="preserve"> shall be subject to the terms</w:t>
      </w:r>
      <w:r>
        <w:rPr>
          <w:u w:val="single"/>
        </w:rPr>
        <w:t xml:space="preserve"> of this subsection.   </w:t>
      </w:r>
    </w:p>
    <w:p w:rsidR="007F4E78" w:rsidRDefault="007F4E78" w:rsidP="007F4E78">
      <w:r>
        <w:t>(</w:t>
      </w:r>
      <w:proofErr w:type="spellStart"/>
      <w:r>
        <w:t>cf</w:t>
      </w:r>
      <w:proofErr w:type="spellEnd"/>
      <w:r>
        <w:t>: P.L.1961, c.</w:t>
      </w:r>
      <w:r w:rsidRPr="00965099">
        <w:t>121</w:t>
      </w:r>
      <w:r>
        <w:t>, s.1)</w:t>
      </w:r>
    </w:p>
    <w:p w:rsidR="007F4E78" w:rsidRDefault="007F4E78" w:rsidP="007F4E78"/>
    <w:p w:rsidR="007F4E78" w:rsidRPr="00AA7880" w:rsidRDefault="007F4E78" w:rsidP="007F4E78">
      <w:r>
        <w:tab/>
        <w:t>2.</w:t>
      </w:r>
      <w:r>
        <w:tab/>
        <w:t>This act shall take effect immediately.</w:t>
      </w:r>
    </w:p>
    <w:sectPr w:rsidR="007F4E78" w:rsidRPr="00AA7880" w:rsidSect="00500ADB">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57" w:rsidRDefault="004B5557">
      <w:r>
        <w:separator/>
      </w:r>
    </w:p>
  </w:endnote>
  <w:endnote w:type="continuationSeparator" w:id="0">
    <w:p w:rsidR="004B5557" w:rsidRDefault="004B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ED" w:rsidRDefault="00AA60ED" w:rsidP="00AA60E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ADB" w:rsidRDefault="00500ADB">
    <w:pPr>
      <w:pStyle w:val="Footer"/>
      <w:rPr>
        <w:szCs w:val="18"/>
      </w:rPr>
    </w:pPr>
  </w:p>
  <w:p w:rsidR="00500ADB" w:rsidRPr="00921C91" w:rsidRDefault="00500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0ADB" w:rsidRPr="00921C91" w:rsidRDefault="00500ADB">
    <w:pPr>
      <w:pStyle w:val="Footer"/>
      <w:rPr>
        <w:szCs w:val="18"/>
      </w:rPr>
    </w:pPr>
  </w:p>
  <w:p w:rsidR="00500ADB" w:rsidRPr="00921C91" w:rsidRDefault="00500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57" w:rsidRDefault="004B5557">
      <w:r>
        <w:separator/>
      </w:r>
    </w:p>
  </w:footnote>
  <w:footnote w:type="continuationSeparator" w:id="0">
    <w:p w:rsidR="004B5557" w:rsidRDefault="004B5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09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0ADB" w:rsidRDefault="00500ADB" w:rsidP="00500ADB">
    <w:pPr>
      <w:pStyle w:val="bpuHeadSpon"/>
    </w:pPr>
    <w:r w:rsidRPr="00500ADB">
      <w:rPr>
        <w:rStyle w:val="bpuHeadSponChar"/>
      </w:rPr>
      <w:t>S396</w:t>
    </w:r>
    <w:r>
      <w:t xml:space="preserve"> WEINBERG</w:t>
    </w:r>
  </w:p>
  <w:p w:rsidR="00500ADB" w:rsidRDefault="00500ADB" w:rsidP="00500ADB">
    <w:pPr>
      <w:pStyle w:val="bpuHeadSpon"/>
    </w:pPr>
    <w:r>
      <w:fldChar w:fldCharType="begin"/>
    </w:r>
    <w:r>
      <w:instrText xml:space="preserve"> PAGE  \* MERGEFORMAT </w:instrText>
    </w:r>
    <w:r>
      <w:fldChar w:fldCharType="separate"/>
    </w:r>
    <w:r w:rsidR="008E2EA8">
      <w:rPr>
        <w:noProof/>
      </w:rPr>
      <w:t>3</w:t>
    </w:r>
    <w:r>
      <w:fldChar w:fldCharType="end"/>
    </w:r>
  </w:p>
  <w:p w:rsidR="00500ADB" w:rsidRPr="00AF575C" w:rsidRDefault="00500ADB" w:rsidP="00500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0ADB" w:rsidRDefault="00500ADB" w:rsidP="00500ADB">
    <w:pPr>
      <w:pStyle w:val="bpuHeadSpon"/>
    </w:pPr>
    <w:r w:rsidRPr="00500ADB">
      <w:rPr>
        <w:rStyle w:val="bpuHeadSponChar"/>
      </w:rPr>
      <w:t>S396</w:t>
    </w:r>
    <w:r>
      <w:t xml:space="preserve"> WEINBERG</w:t>
    </w:r>
    <w:r w:rsidR="00AA60ED">
      <w:t xml:space="preserve">, </w:t>
    </w:r>
    <w:r w:rsidR="00AA60ED">
      <w:t>ADDIEGO</w:t>
    </w:r>
  </w:p>
  <w:p w:rsidR="00500ADB" w:rsidRDefault="00500ADB" w:rsidP="00500ADB">
    <w:pPr>
      <w:pStyle w:val="bpuHeadSpon"/>
    </w:pPr>
    <w:r>
      <w:fldChar w:fldCharType="begin"/>
    </w:r>
    <w:r>
      <w:instrText xml:space="preserve"> PAGE  \* MERGEFORMAT </w:instrText>
    </w:r>
    <w:r>
      <w:fldChar w:fldCharType="separate"/>
    </w:r>
    <w:r w:rsidR="009B19CE">
      <w:rPr>
        <w:noProof/>
      </w:rPr>
      <w:t>2</w:t>
    </w:r>
    <w:r>
      <w:fldChar w:fldCharType="end"/>
    </w:r>
  </w:p>
  <w:p w:rsidR="00500ADB" w:rsidRDefault="00500ADB" w:rsidP="00500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5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CE"/>
    <w:rsid w:val="002463CF"/>
    <w:rsid w:val="00250CA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C7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557"/>
    <w:rsid w:val="004B5C78"/>
    <w:rsid w:val="004B667A"/>
    <w:rsid w:val="004B6E61"/>
    <w:rsid w:val="004B75D5"/>
    <w:rsid w:val="004C0EE5"/>
    <w:rsid w:val="004C1B1C"/>
    <w:rsid w:val="004C2B44"/>
    <w:rsid w:val="004D1B2E"/>
    <w:rsid w:val="004D76F0"/>
    <w:rsid w:val="004F18AF"/>
    <w:rsid w:val="00500AD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6DE"/>
    <w:rsid w:val="005E5083"/>
    <w:rsid w:val="005F1C6B"/>
    <w:rsid w:val="006005C9"/>
    <w:rsid w:val="00601E45"/>
    <w:rsid w:val="00602497"/>
    <w:rsid w:val="00602B0B"/>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B8F"/>
    <w:rsid w:val="006C3B76"/>
    <w:rsid w:val="006C4542"/>
    <w:rsid w:val="006D1FA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4E78"/>
    <w:rsid w:val="0080085C"/>
    <w:rsid w:val="00802AF0"/>
    <w:rsid w:val="00806253"/>
    <w:rsid w:val="00820A1D"/>
    <w:rsid w:val="00841F07"/>
    <w:rsid w:val="008462AA"/>
    <w:rsid w:val="00846D3E"/>
    <w:rsid w:val="0084725C"/>
    <w:rsid w:val="00862646"/>
    <w:rsid w:val="008627AA"/>
    <w:rsid w:val="008628FF"/>
    <w:rsid w:val="00867FC7"/>
    <w:rsid w:val="00874609"/>
    <w:rsid w:val="0087660A"/>
    <w:rsid w:val="008823BC"/>
    <w:rsid w:val="008859B3"/>
    <w:rsid w:val="008A3AA8"/>
    <w:rsid w:val="008B313B"/>
    <w:rsid w:val="008B4545"/>
    <w:rsid w:val="008B6E84"/>
    <w:rsid w:val="008C6FA9"/>
    <w:rsid w:val="008D35C6"/>
    <w:rsid w:val="008D455C"/>
    <w:rsid w:val="008D62DB"/>
    <w:rsid w:val="008E2EA8"/>
    <w:rsid w:val="008E3B9B"/>
    <w:rsid w:val="008E4F67"/>
    <w:rsid w:val="008F6A7A"/>
    <w:rsid w:val="0090005E"/>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9CE"/>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323"/>
    <w:rsid w:val="00A64CED"/>
    <w:rsid w:val="00A7050B"/>
    <w:rsid w:val="00A721B4"/>
    <w:rsid w:val="00A72513"/>
    <w:rsid w:val="00A95220"/>
    <w:rsid w:val="00AA2A56"/>
    <w:rsid w:val="00AA3B15"/>
    <w:rsid w:val="00AA60ED"/>
    <w:rsid w:val="00AA6194"/>
    <w:rsid w:val="00AA64D0"/>
    <w:rsid w:val="00AB4C5C"/>
    <w:rsid w:val="00AC4B4B"/>
    <w:rsid w:val="00AC6AC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1F0"/>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56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66B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77E138"/>
  <w15:docId w15:val="{7BC37E9E-897A-481E-94D8-AE098EDB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0ADB"/>
  </w:style>
  <w:style w:type="paragraph" w:styleId="BalloonText">
    <w:name w:val="Balloon Text"/>
    <w:basedOn w:val="Normal"/>
    <w:link w:val="BalloonTextChar"/>
    <w:semiHidden/>
    <w:unhideWhenUsed/>
    <w:rsid w:val="003D7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C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B15C7-144A-4EF0-B498-ABD23FA93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393</Words>
  <Characters>2075</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S396 TR</vt:lpstr>
    </vt:vector>
  </TitlesOfParts>
  <Manager>R230</Manager>
  <Company>OFFICE of LEGISLATIVE SERVICES</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 TR</dc:title>
  <dc:creator>Senator  WEINBERG</dc:creator>
  <cp:keywords>S396|2|ER |65|0|266|!|0|</cp:keywords>
  <dc:description>PREFILED 2020_x000d_
TR October 8, 2020</dc:description>
  <cp:lastModifiedBy>Puleo, Roseanne</cp:lastModifiedBy>
  <cp:revision>2</cp:revision>
  <cp:lastPrinted>2020-11-02T15:08:00Z</cp:lastPrinted>
  <dcterms:created xsi:type="dcterms:W3CDTF">2020-11-02T15:08:00Z</dcterms:created>
  <dcterms:modified xsi:type="dcterms:W3CDTF">2020-11-02T15:08:00Z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