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BEB" w:rsidRDefault="00331BEB" w:rsidP="00331BEB">
      <w:pPr>
        <w:pStyle w:val="bpuBill"/>
      </w:pPr>
      <w:bookmarkStart w:id="0" w:name="bpuFrontPg"/>
      <w:bookmarkEnd w:id="0"/>
      <w:r>
        <w:t xml:space="preserve">SENATE, No. 397 </w:t>
      </w:r>
    </w:p>
    <w:p w:rsidR="00331BEB" w:rsidRPr="00331BEB" w:rsidRDefault="00331BEB" w:rsidP="00331B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5950426" r:id="rId8"/>
        </w:object>
      </w:r>
    </w:p>
    <w:p w:rsidR="00331BEB" w:rsidRDefault="00331BEB" w:rsidP="00331BEB">
      <w:pPr>
        <w:pStyle w:val="bpuState"/>
      </w:pPr>
      <w:r>
        <w:t>STATE OF NEW JERSEY</w:t>
      </w:r>
    </w:p>
    <w:p w:rsidR="00331BEB" w:rsidRDefault="00331BEB" w:rsidP="00331BEB">
      <w:pPr>
        <w:pStyle w:val="bpuLegislature"/>
      </w:pPr>
      <w:r>
        <w:t>219th LEGISLATURE</w:t>
      </w:r>
    </w:p>
    <w:p w:rsidR="00331BEB" w:rsidRDefault="00331BEB" w:rsidP="00331BEB">
      <w:pPr>
        <w:pStyle w:val="bpuWpGraphic"/>
      </w:pPr>
      <w:r>
        <w:object w:dxaOrig="8985" w:dyaOrig="255">
          <v:shape id="_x0000_i1026" type="#_x0000_t75" style="width:6in;height:11.25pt" o:ole="">
            <v:imagedata r:id="rId7" o:title=""/>
          </v:shape>
          <o:OLEObject Type="Embed" ProgID="WPWin6.1" ShapeID="_x0000_i1026" DrawAspect="Content" ObjectID="_1685950427" r:id="rId9"/>
        </w:object>
      </w:r>
      <w:r>
        <w:t xml:space="preserve">  </w:t>
      </w:r>
    </w:p>
    <w:p w:rsidR="00331BEB" w:rsidRDefault="00331BEB" w:rsidP="00331BEB">
      <w:pPr>
        <w:pStyle w:val="bpuIntro"/>
      </w:pPr>
      <w:r>
        <w:t>PRE-FILED FOR INTRODUCTION IN THE 2020 SESSION</w:t>
      </w:r>
    </w:p>
    <w:p w:rsidR="00331BEB" w:rsidRDefault="00331BEB" w:rsidP="00331BEB">
      <w:pPr>
        <w:pStyle w:val="bpuIntro"/>
      </w:pPr>
    </w:p>
    <w:p w:rsidR="00331BEB" w:rsidRDefault="00331BEB" w:rsidP="00331BEB">
      <w:pPr>
        <w:pStyle w:val="bpuIntro"/>
        <w:sectPr w:rsidR="00331BEB" w:rsidSect="0058636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31BEB" w:rsidRDefault="00331BEB" w:rsidP="00331BEB">
      <w:pPr>
        <w:pStyle w:val="bpuIntro"/>
      </w:pPr>
    </w:p>
    <w:p w:rsidR="00331BEB" w:rsidRDefault="00331BEB" w:rsidP="00331BEB">
      <w:pPr>
        <w:pStyle w:val="bpuSponsor"/>
      </w:pPr>
      <w:r>
        <w:t>Sponsored by:</w:t>
      </w:r>
    </w:p>
    <w:p w:rsidR="00331BEB" w:rsidRDefault="00331BEB" w:rsidP="00331BEB">
      <w:pPr>
        <w:pStyle w:val="bpuSponsor"/>
      </w:pPr>
      <w:r>
        <w:t>Senator  LORETTA WEINBERG</w:t>
      </w:r>
    </w:p>
    <w:p w:rsidR="00331BEB" w:rsidRDefault="00331BEB" w:rsidP="00331BEB">
      <w:pPr>
        <w:pStyle w:val="bpuSponsor"/>
      </w:pPr>
      <w:r>
        <w:t>District 37 (Bergen)</w:t>
      </w:r>
    </w:p>
    <w:p w:rsidR="00331BEB" w:rsidRDefault="00331BEB" w:rsidP="00331BEB">
      <w:pPr>
        <w:pStyle w:val="bpuSponsor"/>
      </w:pPr>
      <w:r>
        <w:t>Senator  SHIRLEY K. TURNER</w:t>
      </w:r>
    </w:p>
    <w:p w:rsidR="00331BEB" w:rsidRDefault="00331BEB" w:rsidP="00331BEB">
      <w:pPr>
        <w:pStyle w:val="bpuSponsor"/>
      </w:pPr>
      <w:r>
        <w:t>District 15 (Hunterdon and Mercer)</w:t>
      </w:r>
    </w:p>
    <w:p w:rsidR="00331BEB" w:rsidRDefault="00331BEB" w:rsidP="00331BEB">
      <w:pPr>
        <w:pStyle w:val="bpuSponsor"/>
      </w:pPr>
    </w:p>
    <w:p w:rsidR="00EA67B9" w:rsidRDefault="00586366" w:rsidP="00586366">
      <w:pPr>
        <w:pStyle w:val="bpuSponsor"/>
      </w:pPr>
      <w:bookmarkStart w:id="1" w:name="_GoBack"/>
      <w:bookmarkEnd w:id="1"/>
      <w:r>
        <w:t>Co-Sponsored by:</w:t>
      </w:r>
    </w:p>
    <w:p w:rsidR="00586366" w:rsidRDefault="00586366" w:rsidP="00586366">
      <w:pPr>
        <w:pStyle w:val="bpuSponsor"/>
      </w:pPr>
      <w:r w:rsidRPr="00586366">
        <w:t>Senators Diegnan, Thompson, Greenstein, Pou, Lagana, Testa, Cruz-Perez and Singleton</w:t>
      </w:r>
    </w:p>
    <w:p w:rsidR="00586366" w:rsidRPr="00586366" w:rsidRDefault="00586366" w:rsidP="00586366"/>
    <w:p w:rsidR="00331BEB" w:rsidRDefault="00331BEB" w:rsidP="00331BEB"/>
    <w:p w:rsidR="002475F5" w:rsidRPr="00331BEB" w:rsidRDefault="002475F5" w:rsidP="00331BEB"/>
    <w:p w:rsidR="00331BEB" w:rsidRDefault="00331BEB" w:rsidP="00331BEB">
      <w:pPr>
        <w:pStyle w:val="bpuSponsor"/>
      </w:pPr>
    </w:p>
    <w:p w:rsidR="00331BEB" w:rsidRDefault="00331BEB" w:rsidP="00331BEB">
      <w:pPr>
        <w:pStyle w:val="bpuSponsor"/>
      </w:pPr>
      <w:r>
        <w:t>SYNOPSIS</w:t>
      </w:r>
    </w:p>
    <w:p w:rsidR="00331BEB" w:rsidRDefault="00331BEB" w:rsidP="00331BEB">
      <w:pPr>
        <w:pStyle w:val="bpuNormText"/>
      </w:pPr>
      <w:r>
        <w:tab/>
        <w:t xml:space="preserve">Expands scope of law prohibiting age discrimination. </w:t>
      </w:r>
    </w:p>
    <w:p w:rsidR="00331BEB" w:rsidRDefault="00331BEB" w:rsidP="00331BEB">
      <w:pPr>
        <w:pStyle w:val="bpuNormText"/>
      </w:pPr>
    </w:p>
    <w:p w:rsidR="00331BEB" w:rsidRDefault="00331BEB" w:rsidP="00331BEB">
      <w:pPr>
        <w:pStyle w:val="bpuSponsor"/>
      </w:pPr>
      <w:r>
        <w:t xml:space="preserve">CURRENT VERSION OF TEXT </w:t>
      </w:r>
    </w:p>
    <w:p w:rsidR="00331BEB" w:rsidRDefault="00C60923" w:rsidP="00331BEB">
      <w:pPr>
        <w:pStyle w:val="bpuNormText"/>
      </w:pPr>
      <w:r>
        <w:tab/>
        <w:t>As reported by the Senate Labor Committee with technical review.</w:t>
      </w:r>
    </w:p>
    <w:p w:rsidR="00331BEB" w:rsidRDefault="00331BEB" w:rsidP="00331B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1BEB" w:rsidRDefault="00331B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1BEB" w:rsidSect="00331BEB">
          <w:type w:val="continuous"/>
          <w:pgSz w:w="12240" w:h="20160" w:code="5"/>
          <w:pgMar w:top="2160" w:right="2275" w:bottom="1440" w:left="2275" w:header="72" w:footer="720" w:gutter="0"/>
          <w:pgNumType w:start="1"/>
          <w:cols w:space="720"/>
          <w:docGrid w:linePitch="360"/>
        </w:sectPr>
      </w:pPr>
    </w:p>
    <w:p w:rsidR="004B1CE4" w:rsidRPr="00677316" w:rsidRDefault="004B1CE4" w:rsidP="004B1CE4">
      <w:pPr>
        <w:pStyle w:val="HangingAnAct"/>
        <w:rPr>
          <w:rStyle w:val="HangingAnActChar"/>
        </w:rPr>
      </w:pPr>
      <w:r w:rsidRPr="004B1CE4">
        <w:rPr>
          <w:rStyle w:val="BillHead"/>
        </w:rPr>
        <w:lastRenderedPageBreak/>
        <w:t>An Act</w:t>
      </w:r>
      <w:r w:rsidRPr="006B7FA7">
        <w:rPr>
          <w:rStyle w:val="HangingAnActChar"/>
        </w:rPr>
        <w:t xml:space="preserve"> </w:t>
      </w:r>
      <w:r>
        <w:rPr>
          <w:rStyle w:val="HangingAnActChar"/>
        </w:rPr>
        <w:t>concerning age discrimination and revising various parts of the statutory law.</w:t>
      </w:r>
    </w:p>
    <w:p w:rsidR="004B1CE4" w:rsidRPr="00D71D68" w:rsidRDefault="004B1CE4" w:rsidP="004B1CE4"/>
    <w:p w:rsidR="004B1CE4" w:rsidRPr="00AA7880" w:rsidRDefault="004B1CE4" w:rsidP="004B1CE4">
      <w:r>
        <w:tab/>
      </w:r>
      <w:r>
        <w:rPr>
          <w:rStyle w:val="BillHeading2"/>
        </w:rPr>
        <w:t xml:space="preserve">Be It Enacted </w:t>
      </w:r>
      <w:r>
        <w:rPr>
          <w:rStyle w:val="BillLanguage"/>
        </w:rPr>
        <w:t>by the Senate and General Assembly of the State of New Jersey:</w:t>
      </w:r>
    </w:p>
    <w:p w:rsidR="004B1CE4" w:rsidRPr="00D71D68" w:rsidRDefault="004B1CE4" w:rsidP="004B1CE4"/>
    <w:p w:rsidR="004B1CE4" w:rsidRDefault="004B1CE4" w:rsidP="004B1CE4">
      <w:r>
        <w:tab/>
        <w:t>1.</w:t>
      </w:r>
      <w:r>
        <w:tab/>
        <w:t>Section 1 of P.L.1938, c.295 (C.10:3-1) is amended to read as follows:</w:t>
      </w:r>
    </w:p>
    <w:p w:rsidR="004B1CE4" w:rsidRDefault="004B1CE4" w:rsidP="004B1CE4">
      <w:r>
        <w:tab/>
        <w:t>1.</w:t>
      </w:r>
      <w:r>
        <w:tab/>
        <w:t xml:space="preserve">In the selection of persons for employment in the service of the State, or of any county or municipality thereof, no appointing officer shall discriminate against any such applicant because such applicant has attained the age of at least 40 years, at the time of said application for employment.  Any provisions of law, executive order, rule or regulation to the contrary notwithstanding, no person other than a justice of the Supreme Court or a judge of the Superior Court pursuant to Article VI, Section VI, paragraph 3 of the Constitution of the State of New Jersey, or a judge of the Tax Court, or a judge of the Office of Administrative Law or a judge of the Division of Workers' Compensation, or a member of the Division of State Police, employed in the service of the State, or of any county or municipality thereof, or a member of a police or fire department employed in the service of the State or of any county or municipality thereof, shall be required to retire upon the attainment of a particular age unless the public employer can show that </w:t>
      </w:r>
      <w:r w:rsidRPr="005E1113">
        <w:rPr>
          <w:rFonts w:ascii="Albertus Extra Bold" w:hAnsi="Albertus Extra Bold"/>
          <w:b/>
        </w:rPr>
        <w:t>[</w:t>
      </w:r>
      <w:r>
        <w:t>the retirement age bears a manifest relationship to the employment in question or that</w:t>
      </w:r>
      <w:r w:rsidRPr="005E1113">
        <w:rPr>
          <w:rFonts w:ascii="Albertus Extra Bold" w:hAnsi="Albertus Extra Bold"/>
          <w:b/>
        </w:rPr>
        <w:t>]</w:t>
      </w:r>
      <w:r>
        <w:t xml:space="preserve"> the person in the service of the State, or of any county or municipality thereof, is unable to adequately perform the person's duties.  A contract of tenure or similar arrangement providing for tenure shall not bar a public employer from showing that </w:t>
      </w:r>
      <w:r w:rsidRPr="004A21D2">
        <w:rPr>
          <w:rFonts w:ascii="Albertus Extra Bold" w:hAnsi="Albertus Extra Bold"/>
          <w:b/>
        </w:rPr>
        <w:t>[</w:t>
      </w:r>
      <w:r>
        <w:t>a retirement age bears a manifest relationship to the employment in question or that</w:t>
      </w:r>
      <w:r w:rsidRPr="004A21D2">
        <w:rPr>
          <w:rFonts w:ascii="Albertus Extra Bold" w:hAnsi="Albertus Extra Bold"/>
          <w:b/>
        </w:rPr>
        <w:t>]</w:t>
      </w:r>
      <w:r>
        <w:t xml:space="preserve"> the person in the service of the State, or of any county or municipality thereof, is unable to adequately perform the person's duties.  A person in the employ of the State, or of any county or municipality thereof, who is required to retire upon the attainment of a particular age in violation of this section shall be entitled to reinstatement with back pay and interest.</w:t>
      </w:r>
    </w:p>
    <w:p w:rsidR="004B1CE4" w:rsidRDefault="004B1CE4" w:rsidP="004B1CE4">
      <w:r>
        <w:t>(cf: P.L.1999, c.380, s.15)</w:t>
      </w:r>
    </w:p>
    <w:p w:rsidR="004B1CE4" w:rsidRDefault="004B1CE4" w:rsidP="004B1CE4"/>
    <w:p w:rsidR="004B1CE4" w:rsidRDefault="004B1CE4" w:rsidP="004B1CE4">
      <w:r>
        <w:tab/>
        <w:t>2.</w:t>
      </w:r>
      <w:r>
        <w:tab/>
        <w:t>Section 11 of P.L.1945, c.169 (C.10:5-12) is amended to read as follows:</w:t>
      </w:r>
    </w:p>
    <w:p w:rsidR="004B1CE4" w:rsidRDefault="004B1CE4" w:rsidP="004B1CE4">
      <w:r>
        <w:tab/>
        <w:t>11.</w:t>
      </w:r>
      <w:r>
        <w:tab/>
        <w:t>It shall be an unlawful employment practice, or, as the case may be, an unlawful discrimination:</w:t>
      </w:r>
    </w:p>
    <w:p w:rsidR="004B1CE4" w:rsidRDefault="004B1CE4" w:rsidP="004B1CE4">
      <w:r>
        <w:tab/>
        <w:t>a.</w:t>
      </w:r>
      <w:r>
        <w:tab/>
        <w:t xml:space="preserve">For an employer, because of the race, creed, color, national origin, ancestry, age, marital status, civil union status, domestic partnership status, affectional or sexual orientation, genetic </w:t>
      </w:r>
      <w:r>
        <w:lastRenderedPageBreak/>
        <w:t xml:space="preserve">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w:t>
      </w:r>
      <w:r w:rsidRPr="006B100F">
        <w:rPr>
          <w:rFonts w:ascii="Albertus Extra Bold" w:hAnsi="Albertus Extra Bold"/>
          <w:b/>
        </w:rPr>
        <w:t>[</w:t>
      </w:r>
      <w:r>
        <w:t>provided further that nothing herein contained shall be construed to bar an employer from refusing to accept for employment or to promote any person over 70 years of age;</w:t>
      </w:r>
      <w:r w:rsidRPr="006B100F">
        <w:rPr>
          <w:rFonts w:ascii="Albertus Extra Bold" w:hAnsi="Albertus Extra Bold"/>
          <w:b/>
        </w:rPr>
        <w:t>]</w:t>
      </w:r>
      <w:r>
        <w:t xml:space="preserv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w:t>
      </w:r>
      <w:r w:rsidRPr="00A454B3">
        <w:t>000.00; an</w:t>
      </w:r>
      <w:r>
        <w:t>d provided further that an employer may restrict employment to citizens of the United States where such restriction is required by federal law or is otherwise necessary to protect the national interest.</w:t>
      </w:r>
    </w:p>
    <w:p w:rsidR="004B1CE4" w:rsidRDefault="004B1CE4" w:rsidP="004B1CE4">
      <w:r>
        <w:tab/>
        <w:t>The provisions of subsections a. and b. of section 57 of P.L.2003, c.246 (C.34:11A-20), and the provisions of section 58 of P.L.2003, c.246 (C.26:8A-11), shall not be deemed to be an unlawful discrimination under P.L.1945, c.169 (C.10:5-1 et seq.).</w:t>
      </w:r>
    </w:p>
    <w:p w:rsidR="004B1CE4" w:rsidRDefault="004B1CE4" w:rsidP="004B1CE4">
      <w:r>
        <w:tab/>
        <w:t xml:space="preserve">For the purposes of this subsection, a "bona fide executive" is a top level employee who exercises substantial executive authority </w:t>
      </w:r>
      <w:r>
        <w:lastRenderedPageBreak/>
        <w:t>over a significant number of employees and a large volume of business.  A "high policy-making position" is a position in which a person plays a significant role in developing policy and in recommending the implementation thereof.</w:t>
      </w:r>
    </w:p>
    <w:p w:rsidR="004B1CE4" w:rsidRDefault="004B1CE4" w:rsidP="004B1CE4">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4B1CE4" w:rsidRDefault="004B1CE4" w:rsidP="004B1CE4">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 except not more than six years, in which the violation with regard to discrimination in compensation or in the financial terms or conditions of employment has been continuous, if the violation continues to occur within the statute of limitations.</w:t>
      </w:r>
    </w:p>
    <w:p w:rsidR="004B1CE4" w:rsidRDefault="004B1CE4" w:rsidP="004B1CE4">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4B1CE4" w:rsidRDefault="004B1CE4" w:rsidP="004B1CE4">
      <w:r>
        <w:tab/>
        <w:t>b.</w:t>
      </w:r>
      <w:r>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4B1CE4" w:rsidRDefault="004B1CE4" w:rsidP="004B1CE4">
      <w:r>
        <w:lastRenderedPageBreak/>
        <w:tab/>
        <w:t>c.</w:t>
      </w:r>
      <w:r>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4B1CE4" w:rsidRDefault="004B1CE4" w:rsidP="004B1CE4">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4B1CE4" w:rsidRDefault="004B1CE4" w:rsidP="004B1CE4">
      <w:r>
        <w:tab/>
        <w:t>e.</w:t>
      </w:r>
      <w:r>
        <w:tab/>
        <w:t>For any person, whether an employer or an employee or not, to aid, abet, incite, compel or coerce the doing of any of the acts forbidden under this act, or to attempt to do so.</w:t>
      </w:r>
    </w:p>
    <w:p w:rsidR="004B1CE4" w:rsidRDefault="004B1CE4" w:rsidP="004B1CE4">
      <w:r>
        <w:tab/>
        <w:t>f.</w:t>
      </w:r>
      <w:r>
        <w:tab/>
        <w:t xml:space="preserve">(1)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w:t>
      </w:r>
      <w:r>
        <w:lastRenderedPageBreak/>
        <w:t>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4B1CE4" w:rsidRDefault="004B1CE4" w:rsidP="004B1CE4">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4B1CE4" w:rsidRDefault="004B1CE4" w:rsidP="004B1CE4">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4B1CE4" w:rsidRDefault="004B1CE4" w:rsidP="004B1CE4">
      <w:r>
        <w:tab/>
        <w:t>g.</w:t>
      </w:r>
      <w:r>
        <w:tab/>
        <w:t>For any person, including but not limited to, any owner, lessee, sublessee, assignee or managing agent of, or other person having the right of ownership or possession of or the right to sell, rent, lease, assign, or sublease any real property or part or portion thereof, or any agent or employee of any of these:</w:t>
      </w:r>
    </w:p>
    <w:p w:rsidR="004B1CE4" w:rsidRDefault="004B1CE4" w:rsidP="004B1CE4">
      <w:r>
        <w:lastRenderedPageBreak/>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4B1CE4" w:rsidRDefault="004B1CE4" w:rsidP="004B1CE4">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4B1CE4" w:rsidRDefault="004B1CE4" w:rsidP="004B1CE4">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4B1CE4" w:rsidRDefault="004B1CE4" w:rsidP="004B1CE4">
      <w:r>
        <w:lastRenderedPageBreak/>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4B1CE4" w:rsidRDefault="004B1CE4" w:rsidP="004B1CE4">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4B1CE4" w:rsidRDefault="004B1CE4" w:rsidP="004B1CE4">
      <w:r>
        <w:tab/>
      </w:r>
      <w:r w:rsidR="00847E90">
        <w:t xml:space="preserve"> </w:t>
      </w:r>
      <w:r>
        <w:t>h.</w:t>
      </w:r>
      <w:r>
        <w:tab/>
        <w:t>For any person, including but not limited to, any real estate broker, real estate salesperson, or employee or agent thereof:</w:t>
      </w:r>
    </w:p>
    <w:p w:rsidR="004B1CE4" w:rsidRDefault="004B1CE4" w:rsidP="004B1CE4">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4B1CE4" w:rsidRDefault="004B1CE4" w:rsidP="004B1CE4">
      <w:r>
        <w:tab/>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4B1CE4" w:rsidRDefault="004B1CE4" w:rsidP="004B1CE4">
      <w:r>
        <w:tab/>
        <w:t>(3)</w:t>
      </w:r>
      <w:r>
        <w:tab/>
        <w:t xml:space="preserve">To print, publish, circulate, issue, display, post, or mail, or cause to be printed, published, circulated, issued, displayed, posted </w:t>
      </w:r>
      <w:r>
        <w:lastRenderedPageBreak/>
        <w:t>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4B1CE4" w:rsidRDefault="004B1CE4" w:rsidP="004B1CE4">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4B1CE4" w:rsidRDefault="004B1CE4" w:rsidP="004B1CE4">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4B1CE4" w:rsidRDefault="004B1CE4" w:rsidP="004B1CE4">
      <w:r>
        <w:tab/>
        <w:t>i.</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4B1CE4" w:rsidRDefault="004B1CE4" w:rsidP="004B1CE4">
      <w:r>
        <w:lastRenderedPageBreak/>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4B1CE4" w:rsidRDefault="004B1CE4" w:rsidP="004B1CE4">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4B1CE4" w:rsidRDefault="004B1CE4" w:rsidP="004B1CE4">
      <w:r>
        <w:tab/>
        <w:t>(3)</w:t>
      </w:r>
      <w:r>
        <w:tab/>
        <w:t>(Deleted by amendment, P.L.2003, c.180).</w:t>
      </w:r>
    </w:p>
    <w:p w:rsidR="004B1CE4" w:rsidRDefault="004B1CE4" w:rsidP="004B1CE4">
      <w:r>
        <w:tab/>
        <w:t>(4)</w:t>
      </w:r>
      <w:r>
        <w:tab/>
        <w:t>To discriminate against any person or group of persons because of the source of any lawful income received by the person or the source of any lawful rent payment to be paid for the real property; or</w:t>
      </w:r>
    </w:p>
    <w:p w:rsidR="004B1CE4" w:rsidRDefault="004B1CE4" w:rsidP="004B1CE4">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4B1CE4" w:rsidRDefault="004B1CE4" w:rsidP="004B1CE4">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4B1CE4" w:rsidRDefault="004B1CE4" w:rsidP="004B1CE4">
      <w:r>
        <w:tab/>
        <w:t>k.</w:t>
      </w:r>
      <w:r>
        <w:tab/>
        <w:t xml:space="preserve">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w:t>
      </w:r>
      <w:r>
        <w:lastRenderedPageBreak/>
        <w:t>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4B1CE4" w:rsidRDefault="004B1CE4" w:rsidP="004B1CE4">
      <w:r>
        <w:tab/>
        <w:t>l.</w:t>
      </w:r>
      <w:r>
        <w:tab/>
        <w:t xml:space="preserve">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w:t>
      </w:r>
      <w:r w:rsidR="008A11DC" w:rsidRPr="008A11DC">
        <w:rPr>
          <w:rFonts w:ascii="Albertus Extra Bold" w:hAnsi="Albertus Extra Bold"/>
          <w:b/>
        </w:rPr>
        <w:t>[</w:t>
      </w:r>
      <w:r>
        <w:t>spouse</w:t>
      </w:r>
      <w:r w:rsidR="008A11DC" w:rsidRPr="008A11DC">
        <w:rPr>
          <w:rFonts w:ascii="Albertus Extra Bold" w:hAnsi="Albertus Extra Bold"/>
          <w:b/>
        </w:rPr>
        <w:t xml:space="preserve">] </w:t>
      </w:r>
      <w:r w:rsidR="008A11DC">
        <w:t>family members</w:t>
      </w:r>
      <w:r>
        <w:t>,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4B1CE4" w:rsidRDefault="004B1CE4" w:rsidP="004B1CE4">
      <w:r>
        <w:tab/>
        <w:t>m.</w:t>
      </w:r>
      <w:r>
        <w:tab/>
        <w:t>For any person to:</w:t>
      </w:r>
    </w:p>
    <w:p w:rsidR="004B1CE4" w:rsidRDefault="004B1CE4" w:rsidP="004B1CE4">
      <w:r>
        <w:tab/>
        <w:t>(1)</w:t>
      </w:r>
      <w:r>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w:t>
      </w:r>
      <w:r w:rsidR="008A11DC" w:rsidRPr="008A11DC">
        <w:rPr>
          <w:rFonts w:ascii="Albertus Extra Bold" w:hAnsi="Albertus Extra Bold"/>
          <w:b/>
        </w:rPr>
        <w:t>[</w:t>
      </w:r>
      <w:r>
        <w:t>spouse</w:t>
      </w:r>
      <w:r w:rsidR="008A11DC" w:rsidRPr="008A11DC">
        <w:rPr>
          <w:rFonts w:ascii="Albertus Extra Bold" w:hAnsi="Albertus Extra Bold"/>
          <w:b/>
        </w:rPr>
        <w:t>]</w:t>
      </w:r>
      <w:r w:rsidR="002909EF">
        <w:rPr>
          <w:b/>
        </w:rPr>
        <w:t xml:space="preserve"> </w:t>
      </w:r>
      <w:r w:rsidR="008A11DC">
        <w:t>family members</w:t>
      </w:r>
      <w:r>
        <w:t>, partners, members, stockholders, directors, officers, managers, superintendents, agents, employees, business associates, suppliers, or customers.</w:t>
      </w:r>
    </w:p>
    <w:p w:rsidR="004B1CE4" w:rsidRDefault="004B1CE4" w:rsidP="004B1CE4">
      <w:r>
        <w:tab/>
        <w:t>(2)</w:t>
      </w:r>
      <w:r>
        <w:tab/>
        <w:t xml:space="preserve">Refuse to grant or accept any letter of credit or other document which evidences the transfer of funds or credit, or refuse to enter into any contract for the exchange of goods or services, on </w:t>
      </w:r>
      <w:r>
        <w:lastRenderedPageBreak/>
        <w:t>the ground that it does not contain such a discriminatory provision or certification.</w:t>
      </w:r>
    </w:p>
    <w:p w:rsidR="004B1CE4" w:rsidRDefault="004B1CE4" w:rsidP="004B1CE4">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4B1CE4" w:rsidRDefault="004B1CE4" w:rsidP="004B1CE4">
      <w:r>
        <w:tab/>
      </w:r>
      <w:r w:rsidR="00FA1EB7">
        <w:t xml:space="preserve"> </w:t>
      </w:r>
      <w:r>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4B1CE4" w:rsidRDefault="004B1CE4" w:rsidP="004B1CE4">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4B1CE4" w:rsidRDefault="004B1CE4" w:rsidP="004B1CE4">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4B1CE4" w:rsidRDefault="004B1CE4" w:rsidP="004B1CE4">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4B1CE4" w:rsidRDefault="004B1CE4" w:rsidP="004B1CE4">
      <w:r>
        <w:tab/>
        <w:t>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4B1CE4" w:rsidRDefault="004B1CE4" w:rsidP="004B1CE4">
      <w:r>
        <w:tab/>
        <w:t>q.</w:t>
      </w:r>
      <w:r>
        <w:tab/>
        <w:t xml:space="preserve">(1)  For any employer to impose upon a person as a condition of obtaining or retaining employment, including </w:t>
      </w:r>
      <w:r>
        <w:lastRenderedPageBreak/>
        <w:t>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4B1CE4" w:rsidRDefault="004B1CE4" w:rsidP="004B1CE4">
      <w:r>
        <w:tab/>
        <w:t>(a)</w:t>
      </w:r>
      <w:r>
        <w:tab/>
        <w:t>The number of the hours worked by the employee which are counted towards the accruing of seniority, pension or other benefits; or</w:t>
      </w:r>
    </w:p>
    <w:p w:rsidR="004B1CE4" w:rsidRDefault="004B1CE4" w:rsidP="004B1CE4">
      <w:r>
        <w:tab/>
        <w:t>(b)</w:t>
      </w:r>
      <w:r>
        <w:tab/>
        <w:t>Any premium wages or benefits provided to an employee pursuant to a collective bargaining agreement.</w:t>
      </w:r>
    </w:p>
    <w:p w:rsidR="004B1CE4" w:rsidRDefault="004B1CE4" w:rsidP="004B1CE4">
      <w:r>
        <w:tab/>
        <w:t>(2)</w:t>
      </w:r>
      <w:r>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4B1CE4" w:rsidRDefault="004B1CE4" w:rsidP="004B1CE4">
      <w:r>
        <w:tab/>
        <w:t>(3)</w:t>
      </w:r>
      <w:r>
        <w:tab/>
        <w:t xml:space="preserve">(a)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4B1CE4" w:rsidRDefault="004B1CE4" w:rsidP="004B1CE4">
      <w:r>
        <w:tab/>
        <w:t>(b)</w:t>
      </w:r>
      <w:r>
        <w:tab/>
        <w:t>In determining whether the accommodation constitutes an undue hardship, the factors considered shall include:</w:t>
      </w:r>
    </w:p>
    <w:p w:rsidR="004B1CE4" w:rsidRDefault="004B1CE4" w:rsidP="004B1CE4">
      <w:r>
        <w:tab/>
        <w:t>(i)</w:t>
      </w:r>
      <w:r>
        <w:tab/>
        <w:t xml:space="preserve">The identifiable cost of the accommodation, including the costs of loss of productivity and of retaining or hiring employees or </w:t>
      </w:r>
      <w:r>
        <w:lastRenderedPageBreak/>
        <w:t>transferring employees from one facility to another, in relation to the size and operating cost of the employer.</w:t>
      </w:r>
    </w:p>
    <w:p w:rsidR="004B1CE4" w:rsidRDefault="004B1CE4" w:rsidP="004B1CE4">
      <w:r>
        <w:tab/>
        <w:t>(ii)</w:t>
      </w:r>
      <w:r>
        <w:tab/>
        <w:t>The number of individuals who will need the particular accommodation for a sincerely held religious observance or practice.</w:t>
      </w:r>
    </w:p>
    <w:p w:rsidR="004B1CE4" w:rsidRDefault="004B1CE4" w:rsidP="004B1CE4">
      <w:r>
        <w:tab/>
        <w:t>(iii)</w:t>
      </w:r>
      <w:r>
        <w:tab/>
        <w:t>For an employer with multiple facilities, the degree to which the geographic separateness or administrative or fiscal relationship of the facilities will make the accommodation more difficult or expensive.</w:t>
      </w:r>
    </w:p>
    <w:p w:rsidR="004B1CE4" w:rsidRDefault="004B1CE4" w:rsidP="004B1CE4">
      <w:r>
        <w:tab/>
        <w:t>(c)</w:t>
      </w:r>
      <w:r>
        <w:tab/>
        <w:t>An accommodation shall be considered to constitute an undue hardship if it will result in the inability of an employee to perform the essential functions of the position in which he or she is employed.</w:t>
      </w:r>
    </w:p>
    <w:p w:rsidR="004B1CE4" w:rsidRDefault="004B1CE4" w:rsidP="004B1CE4">
      <w:r>
        <w:tab/>
        <w:t>(d)</w:t>
      </w:r>
      <w:r>
        <w:tab/>
        <w:t>(i)  The provisions of this subsection q. shall be applicable only to reasonable accommodations of religious observances and shall not supersede any definition of undue hardship or standards for reasonable accommodation of the disabilities of employees.</w:t>
      </w:r>
    </w:p>
    <w:p w:rsidR="004B1CE4" w:rsidRDefault="004B1CE4" w:rsidP="004B1CE4">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4B1CE4" w:rsidRDefault="004B1CE4" w:rsidP="004B1CE4">
      <w:r>
        <w:tab/>
        <w:t>r.</w:t>
      </w:r>
      <w:r>
        <w:tab/>
        <w:t>For any employer to take reprisals against any employee for requesting from ,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4B1CE4" w:rsidRDefault="004B1CE4" w:rsidP="004B1CE4">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w:t>
      </w:r>
      <w:r>
        <w:lastRenderedPageBreak/>
        <w:t>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a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4B1CE4" w:rsidRDefault="004B1CE4" w:rsidP="004B1CE4">
      <w:r>
        <w:tab/>
        <w:t>For the purposes of this section "pregnancy or breastfeeding" means pregnancy, childbirth, and breast feeding or expressing milk for breastfeeding, or medical conditions related to pregnancy, childbirth, or breastfeeding, including recovery from childbirth.</w:t>
      </w:r>
    </w:p>
    <w:p w:rsidR="004B1CE4" w:rsidRDefault="004B1CE4" w:rsidP="004B1CE4">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4B1CE4" w:rsidRDefault="004B1CE4" w:rsidP="004B1CE4">
      <w:r>
        <w:tab/>
        <w:t>t.</w:t>
      </w:r>
      <w:r>
        <w:tab/>
        <w:t xml:space="preserve">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w:t>
      </w:r>
      <w:r>
        <w:lastRenderedPageBreak/>
        <w:t>subsection.  An employer may pay a different rate of compensation only if the employer demonstrates that the differential is made pursuant to a seniority system, a merit system, or the employer demonstrates:</w:t>
      </w:r>
    </w:p>
    <w:p w:rsidR="004B1CE4" w:rsidRDefault="004B1CE4" w:rsidP="004B1CE4">
      <w:r>
        <w:tab/>
        <w:t>(1)</w:t>
      </w:r>
      <w:r>
        <w:tab/>
        <w:t>That the differential is based on one or more legitimate, bona fide factors other than the characteristics of members of the protected class, such as training, education or experience, or the quantity or quality of production;</w:t>
      </w:r>
    </w:p>
    <w:p w:rsidR="00FA1EB7" w:rsidRDefault="004B1CE4" w:rsidP="00FA1EB7">
      <w:r>
        <w:tab/>
        <w:t>(2)</w:t>
      </w:r>
      <w:r>
        <w:tab/>
        <w:t>That the factor or factors are not based on, and do not perpetuate, a differential in compensation based on sex or any other characteristic of members of a protected class;</w:t>
      </w:r>
    </w:p>
    <w:p w:rsidR="004B1CE4" w:rsidRDefault="004B1CE4" w:rsidP="004B1CE4">
      <w:r>
        <w:tab/>
        <w:t>(3)</w:t>
      </w:r>
      <w:r>
        <w:tab/>
        <w:t>That each of the factors is applied reasonably;</w:t>
      </w:r>
    </w:p>
    <w:p w:rsidR="004B1CE4" w:rsidRDefault="004B1CE4" w:rsidP="004B1CE4">
      <w:r>
        <w:tab/>
        <w:t>(4)</w:t>
      </w:r>
      <w:r>
        <w:tab/>
        <w:t>That one or more of the factors account for the entire wage differential; and</w:t>
      </w:r>
    </w:p>
    <w:p w:rsidR="004B1CE4" w:rsidRDefault="004B1CE4" w:rsidP="004B1CE4">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4B1CE4" w:rsidRDefault="004B1CE4" w:rsidP="004B1CE4">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4B1CE4" w:rsidRDefault="00973319" w:rsidP="004B1CE4">
      <w:r>
        <w:t>(cf: P.L.2019, c.436, s.3</w:t>
      </w:r>
      <w:r w:rsidR="004B1CE4">
        <w:t>)</w:t>
      </w:r>
    </w:p>
    <w:p w:rsidR="004B1CE4" w:rsidRDefault="004B1CE4" w:rsidP="004B1CE4"/>
    <w:p w:rsidR="004B1CE4" w:rsidRDefault="004B1CE4" w:rsidP="004B1CE4">
      <w:r>
        <w:tab/>
        <w:t>3.</w:t>
      </w:r>
      <w:r>
        <w:tab/>
        <w:t>Section 5 of P.L.1985, c.73 (C.10:5-12.1) is amended to read as follows:</w:t>
      </w:r>
    </w:p>
    <w:p w:rsidR="004B1CE4" w:rsidRDefault="004B1CE4" w:rsidP="004B1CE4">
      <w:r>
        <w:tab/>
        <w:t>5.</w:t>
      </w:r>
      <w:r>
        <w:tab/>
      </w:r>
      <w:r w:rsidRPr="00C540E2">
        <w:rPr>
          <w:rFonts w:ascii="Albertus Extra Bold" w:hAnsi="Albertus Extra Bold"/>
          <w:b/>
        </w:rPr>
        <w:t>[</w:t>
      </w:r>
      <w:r>
        <w:t>Notwithstanding any provision of law to the contrary</w:t>
      </w:r>
      <w:r w:rsidRPr="00C540E2">
        <w:rPr>
          <w:rFonts w:ascii="Albertus Extra Bold" w:hAnsi="Albertus Extra Bold"/>
          <w:b/>
        </w:rPr>
        <w:t>]</w:t>
      </w:r>
      <w:r>
        <w:t xml:space="preserve"> </w:t>
      </w:r>
      <w:r w:rsidRPr="00AE14B3">
        <w:rPr>
          <w:u w:val="single"/>
        </w:rPr>
        <w:t>As an alternative to or in addition to any other sanction provid</w:t>
      </w:r>
      <w:r w:rsidRPr="00C540E2">
        <w:rPr>
          <w:u w:val="single"/>
        </w:rPr>
        <w:t xml:space="preserve">ed by any other </w:t>
      </w:r>
      <w:r>
        <w:rPr>
          <w:u w:val="single"/>
        </w:rPr>
        <w:t xml:space="preserve">applicable </w:t>
      </w:r>
      <w:r w:rsidRPr="00C540E2">
        <w:rPr>
          <w:u w:val="single"/>
        </w:rPr>
        <w:t>law</w:t>
      </w:r>
      <w:r>
        <w:t xml:space="preserve">, relief for having been required to retire in violation of the provisions of section 11 of P.L.1945, c.169 (C.10:5-12), shall be available to the person aggrieved by that violation </w:t>
      </w:r>
      <w:r w:rsidRPr="00AE14B3">
        <w:rPr>
          <w:rFonts w:ascii="Albertus Extra Bold" w:hAnsi="Albertus Extra Bold"/>
          <w:b/>
        </w:rPr>
        <w:t>[</w:t>
      </w:r>
      <w:r>
        <w:t>solely</w:t>
      </w:r>
      <w:r w:rsidRPr="00AE14B3">
        <w:rPr>
          <w:rFonts w:ascii="Albertus Extra Bold" w:hAnsi="Albertus Extra Bold"/>
          <w:b/>
        </w:rPr>
        <w:t>]</w:t>
      </w:r>
      <w:r>
        <w:t xml:space="preserve"> through the procedure initiated by filing a complaint with the Attorney General under the provisions of P.L.1945, c.169 (C.10:5-1 et seq.). </w:t>
      </w:r>
    </w:p>
    <w:p w:rsidR="004B1CE4" w:rsidRDefault="004B1CE4" w:rsidP="004B1CE4">
      <w:r>
        <w:tab/>
      </w:r>
      <w:r w:rsidRPr="00B0177F">
        <w:rPr>
          <w:rFonts w:ascii="Albertus Extra Bold" w:hAnsi="Albertus Extra Bold"/>
          <w:b/>
        </w:rPr>
        <w:t>[</w:t>
      </w:r>
      <w:r>
        <w:t>Notwithstanding any provision to the contrary of</w:t>
      </w:r>
      <w:r w:rsidRPr="00B0177F">
        <w:rPr>
          <w:rFonts w:ascii="Albertus Extra Bold" w:hAnsi="Albertus Extra Bold"/>
          <w:b/>
        </w:rPr>
        <w:t>]</w:t>
      </w:r>
      <w:r>
        <w:t xml:space="preserve"> </w:t>
      </w:r>
      <w:r w:rsidRPr="00AE14B3">
        <w:rPr>
          <w:u w:val="single"/>
        </w:rPr>
        <w:t>As an alternative to or in addition to any other sanction provided by</w:t>
      </w:r>
      <w:r>
        <w:t xml:space="preserve"> section 16 of P.L.1945, c.169 (C.10:5-17) or any other </w:t>
      </w:r>
      <w:r>
        <w:rPr>
          <w:u w:val="single"/>
        </w:rPr>
        <w:t>applicable</w:t>
      </w:r>
      <w:r>
        <w:t xml:space="preserve"> </w:t>
      </w:r>
      <w:r>
        <w:lastRenderedPageBreak/>
        <w:t xml:space="preserve">law, relief ordered for or granted to a person in connection with his being required to retire in violation of the provisions of section 11 of P.L.1945, c.169 (C.10:5-12) shall </w:t>
      </w:r>
      <w:r w:rsidRPr="00B0177F">
        <w:rPr>
          <w:rFonts w:ascii="Albertus Extra Bold" w:hAnsi="Albertus Extra Bold"/>
          <w:b/>
        </w:rPr>
        <w:t>[</w:t>
      </w:r>
      <w:r>
        <w:t>be limited to his</w:t>
      </w:r>
      <w:r w:rsidRPr="00B0177F">
        <w:rPr>
          <w:rFonts w:ascii="Albertus Extra Bold" w:hAnsi="Albertus Extra Bold"/>
          <w:b/>
        </w:rPr>
        <w:t>]</w:t>
      </w:r>
      <w:r>
        <w:t xml:space="preserve"> </w:t>
      </w:r>
      <w:r>
        <w:rPr>
          <w:u w:val="single"/>
        </w:rPr>
        <w:t>include</w:t>
      </w:r>
      <w:r>
        <w:t xml:space="preserve"> reinstatement with back pay and interest.</w:t>
      </w:r>
    </w:p>
    <w:p w:rsidR="004B1CE4" w:rsidRDefault="00F272C0" w:rsidP="004B1CE4">
      <w:r>
        <w:t>(cf: P.L.2019, c.199, s.3</w:t>
      </w:r>
      <w:r w:rsidR="004B1CE4">
        <w:t>)</w:t>
      </w:r>
    </w:p>
    <w:p w:rsidR="00F272C0" w:rsidRDefault="00F272C0" w:rsidP="00F272C0">
      <w:r>
        <w:tab/>
        <w:t>This section shall not apply to a violation regarding an inquiry as to an applicant’s salary history pursuant to section 2 of P.L.2019, c.199 (C.10:4-12.12).</w:t>
      </w:r>
    </w:p>
    <w:p w:rsidR="004B1CE4" w:rsidRDefault="004B1CE4" w:rsidP="004B1CE4"/>
    <w:p w:rsidR="004B1CE4" w:rsidRDefault="004B1CE4" w:rsidP="004B1CE4">
      <w:r>
        <w:tab/>
        <w:t>4.</w:t>
      </w:r>
      <w:r>
        <w:tab/>
        <w:t xml:space="preserve">Section 4 of P.L.1985, c.73 (C.10:5-2.2) is repealed.   </w:t>
      </w:r>
    </w:p>
    <w:p w:rsidR="004B1CE4" w:rsidRDefault="004B1CE4" w:rsidP="004B1CE4"/>
    <w:p w:rsidR="00FA1EB7" w:rsidRDefault="004B1CE4" w:rsidP="00FA1EB7">
      <w:r>
        <w:tab/>
        <w:t>5.</w:t>
      </w:r>
      <w:r>
        <w:tab/>
        <w:t>This act shall take effect immediately.</w:t>
      </w:r>
    </w:p>
    <w:sectPr w:rsidR="00FA1EB7" w:rsidSect="00FA1EB7">
      <w:headerReference w:type="default" r:id="rId14"/>
      <w:footerReference w:type="default" r:id="rId15"/>
      <w:headerReference w:type="first" r:id="rId16"/>
      <w:footerReference w:type="first" r:id="rId17"/>
      <w:pgSz w:w="12240" w:h="20160" w:code="5"/>
      <w:pgMar w:top="1440" w:right="2520" w:bottom="198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CF4" w:rsidRDefault="00D94CF4">
      <w:r>
        <w:separator/>
      </w:r>
    </w:p>
  </w:endnote>
  <w:endnote w:type="continuationSeparator" w:id="0">
    <w:p w:rsidR="00D94CF4" w:rsidRDefault="00D94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0D" w:rsidRDefault="00586366" w:rsidP="0058636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EB7" w:rsidRPr="00921C91" w:rsidRDefault="00FA1E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1EB7" w:rsidRPr="00921C91" w:rsidRDefault="00FA1EB7">
    <w:pPr>
      <w:pStyle w:val="Footer"/>
      <w:rPr>
        <w:szCs w:val="18"/>
      </w:rPr>
    </w:pPr>
  </w:p>
  <w:p w:rsidR="00FA1EB7" w:rsidRPr="00921C91" w:rsidRDefault="00FA1E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CF4" w:rsidRDefault="00D94CF4">
      <w:r>
        <w:separator/>
      </w:r>
    </w:p>
  </w:footnote>
  <w:footnote w:type="continuationSeparator" w:id="0">
    <w:p w:rsidR="00D94CF4" w:rsidRDefault="00D94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61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1BEB" w:rsidRDefault="00331BEB" w:rsidP="00331BEB">
    <w:pPr>
      <w:pStyle w:val="bpuHeadSpon"/>
    </w:pPr>
    <w:r w:rsidRPr="00331BEB">
      <w:rPr>
        <w:rStyle w:val="bpuHeadSponChar"/>
      </w:rPr>
      <w:t>S397</w:t>
    </w:r>
    <w:r>
      <w:t xml:space="preserve"> WEINBERG, TURNER</w:t>
    </w:r>
  </w:p>
  <w:p w:rsidR="00331BEB" w:rsidRDefault="00331BEB" w:rsidP="00331BEB">
    <w:pPr>
      <w:pStyle w:val="bpuHeadSpon"/>
    </w:pPr>
    <w:r>
      <w:fldChar w:fldCharType="begin"/>
    </w:r>
    <w:r>
      <w:instrText xml:space="preserve"> PAGE  \* MERGEFORMAT </w:instrText>
    </w:r>
    <w:r>
      <w:fldChar w:fldCharType="separate"/>
    </w:r>
    <w:r w:rsidR="00806129">
      <w:rPr>
        <w:noProof/>
      </w:rPr>
      <w:t>17</w:t>
    </w:r>
    <w:r>
      <w:fldChar w:fldCharType="end"/>
    </w:r>
  </w:p>
  <w:p w:rsidR="00331BEB" w:rsidRPr="00AF575C" w:rsidRDefault="00331BEB" w:rsidP="00331B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1BEB" w:rsidRDefault="00331BEB" w:rsidP="00331BEB">
    <w:pPr>
      <w:pStyle w:val="bpuHeadSpon"/>
    </w:pPr>
    <w:r w:rsidRPr="00331BEB">
      <w:rPr>
        <w:rStyle w:val="bpuHeadSponChar"/>
      </w:rPr>
      <w:t>S397</w:t>
    </w:r>
    <w:r>
      <w:t xml:space="preserve"> WEINBERG, TURNER</w:t>
    </w:r>
  </w:p>
  <w:p w:rsidR="00331BEB" w:rsidRDefault="00331BEB" w:rsidP="00331BEB">
    <w:pPr>
      <w:pStyle w:val="bpuHeadSpon"/>
    </w:pPr>
    <w:r>
      <w:fldChar w:fldCharType="begin"/>
    </w:r>
    <w:r>
      <w:instrText xml:space="preserve"> PAGE  \* MERGEFORMAT </w:instrText>
    </w:r>
    <w:r>
      <w:fldChar w:fldCharType="separate"/>
    </w:r>
    <w:r w:rsidR="00806129">
      <w:rPr>
        <w:noProof/>
      </w:rPr>
      <w:t>2</w:t>
    </w:r>
    <w:r>
      <w:fldChar w:fldCharType="end"/>
    </w:r>
  </w:p>
  <w:p w:rsidR="00331BEB" w:rsidRDefault="00331BEB" w:rsidP="00331B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CF4"/>
    <w:rsid w:val="00000169"/>
    <w:rsid w:val="00004D4D"/>
    <w:rsid w:val="00007B70"/>
    <w:rsid w:val="00007DDD"/>
    <w:rsid w:val="00010512"/>
    <w:rsid w:val="00011BAB"/>
    <w:rsid w:val="000154F3"/>
    <w:rsid w:val="000203E7"/>
    <w:rsid w:val="00020E5B"/>
    <w:rsid w:val="000219C8"/>
    <w:rsid w:val="00025A67"/>
    <w:rsid w:val="00030BB1"/>
    <w:rsid w:val="00035598"/>
    <w:rsid w:val="000366BD"/>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5FA3"/>
    <w:rsid w:val="000F6E7F"/>
    <w:rsid w:val="000F7BFB"/>
    <w:rsid w:val="000F7FF6"/>
    <w:rsid w:val="0011462B"/>
    <w:rsid w:val="00122532"/>
    <w:rsid w:val="001316C3"/>
    <w:rsid w:val="001330F6"/>
    <w:rsid w:val="00133BED"/>
    <w:rsid w:val="00136CE2"/>
    <w:rsid w:val="00140A92"/>
    <w:rsid w:val="00140FD3"/>
    <w:rsid w:val="00143A99"/>
    <w:rsid w:val="00144F07"/>
    <w:rsid w:val="00150A42"/>
    <w:rsid w:val="00153466"/>
    <w:rsid w:val="001540B7"/>
    <w:rsid w:val="00156AE5"/>
    <w:rsid w:val="001762FB"/>
    <w:rsid w:val="00182504"/>
    <w:rsid w:val="00186D54"/>
    <w:rsid w:val="00197DEE"/>
    <w:rsid w:val="001A1E72"/>
    <w:rsid w:val="001A253A"/>
    <w:rsid w:val="001A28C1"/>
    <w:rsid w:val="001A3589"/>
    <w:rsid w:val="001A55F1"/>
    <w:rsid w:val="001A66DB"/>
    <w:rsid w:val="001A7AE2"/>
    <w:rsid w:val="001B3175"/>
    <w:rsid w:val="001B3F81"/>
    <w:rsid w:val="001B7150"/>
    <w:rsid w:val="001C6A67"/>
    <w:rsid w:val="001D576D"/>
    <w:rsid w:val="001D632B"/>
    <w:rsid w:val="001D7350"/>
    <w:rsid w:val="001E4DBB"/>
    <w:rsid w:val="001F6719"/>
    <w:rsid w:val="001F6DA6"/>
    <w:rsid w:val="00214614"/>
    <w:rsid w:val="0022067D"/>
    <w:rsid w:val="00231838"/>
    <w:rsid w:val="00232C5B"/>
    <w:rsid w:val="002373F3"/>
    <w:rsid w:val="002463CF"/>
    <w:rsid w:val="002475F5"/>
    <w:rsid w:val="0026254F"/>
    <w:rsid w:val="00266FB9"/>
    <w:rsid w:val="00274341"/>
    <w:rsid w:val="0028159B"/>
    <w:rsid w:val="002909EF"/>
    <w:rsid w:val="00296363"/>
    <w:rsid w:val="002A16E7"/>
    <w:rsid w:val="002A71FA"/>
    <w:rsid w:val="002B4DA4"/>
    <w:rsid w:val="002B67F7"/>
    <w:rsid w:val="002C58D4"/>
    <w:rsid w:val="002E1440"/>
    <w:rsid w:val="002E2980"/>
    <w:rsid w:val="002F5981"/>
    <w:rsid w:val="00304565"/>
    <w:rsid w:val="00307F11"/>
    <w:rsid w:val="0031075B"/>
    <w:rsid w:val="00317C73"/>
    <w:rsid w:val="003212E6"/>
    <w:rsid w:val="00331BEB"/>
    <w:rsid w:val="00333EF1"/>
    <w:rsid w:val="00346CF5"/>
    <w:rsid w:val="00352F8B"/>
    <w:rsid w:val="00354D07"/>
    <w:rsid w:val="0036124D"/>
    <w:rsid w:val="0037458C"/>
    <w:rsid w:val="00381407"/>
    <w:rsid w:val="0038486B"/>
    <w:rsid w:val="003913F4"/>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419"/>
    <w:rsid w:val="0041453D"/>
    <w:rsid w:val="004233B6"/>
    <w:rsid w:val="0044404C"/>
    <w:rsid w:val="00470114"/>
    <w:rsid w:val="00470ABF"/>
    <w:rsid w:val="0048038F"/>
    <w:rsid w:val="00484B8A"/>
    <w:rsid w:val="004A5222"/>
    <w:rsid w:val="004B0CE3"/>
    <w:rsid w:val="004B1CE4"/>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366"/>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129"/>
    <w:rsid w:val="00806253"/>
    <w:rsid w:val="00820A1D"/>
    <w:rsid w:val="00841F07"/>
    <w:rsid w:val="008462AA"/>
    <w:rsid w:val="00846D3E"/>
    <w:rsid w:val="0084725C"/>
    <w:rsid w:val="00847E90"/>
    <w:rsid w:val="008627AA"/>
    <w:rsid w:val="008628FF"/>
    <w:rsid w:val="00867FC7"/>
    <w:rsid w:val="00874609"/>
    <w:rsid w:val="0087660A"/>
    <w:rsid w:val="008823BC"/>
    <w:rsid w:val="008859B3"/>
    <w:rsid w:val="008A11DC"/>
    <w:rsid w:val="008A4616"/>
    <w:rsid w:val="008B313B"/>
    <w:rsid w:val="008B4545"/>
    <w:rsid w:val="008B6E84"/>
    <w:rsid w:val="008C6FA9"/>
    <w:rsid w:val="008D35C6"/>
    <w:rsid w:val="008D455C"/>
    <w:rsid w:val="008D62DB"/>
    <w:rsid w:val="008E3B9B"/>
    <w:rsid w:val="008E4F67"/>
    <w:rsid w:val="008F6A7A"/>
    <w:rsid w:val="008F7646"/>
    <w:rsid w:val="00902B2D"/>
    <w:rsid w:val="00915B98"/>
    <w:rsid w:val="00933C9C"/>
    <w:rsid w:val="0094377E"/>
    <w:rsid w:val="009467BF"/>
    <w:rsid w:val="0094723D"/>
    <w:rsid w:val="009564BC"/>
    <w:rsid w:val="0095650E"/>
    <w:rsid w:val="00966445"/>
    <w:rsid w:val="00967FED"/>
    <w:rsid w:val="00973319"/>
    <w:rsid w:val="00980A56"/>
    <w:rsid w:val="00986E4C"/>
    <w:rsid w:val="009937ED"/>
    <w:rsid w:val="00993BCE"/>
    <w:rsid w:val="009A28BB"/>
    <w:rsid w:val="009A5E9B"/>
    <w:rsid w:val="009B0B5A"/>
    <w:rsid w:val="009B141C"/>
    <w:rsid w:val="009B5662"/>
    <w:rsid w:val="009B6052"/>
    <w:rsid w:val="009B79CB"/>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0FA4"/>
    <w:rsid w:val="00AF6ECE"/>
    <w:rsid w:val="00B00B00"/>
    <w:rsid w:val="00B034C1"/>
    <w:rsid w:val="00B0560C"/>
    <w:rsid w:val="00B07B11"/>
    <w:rsid w:val="00B07DA6"/>
    <w:rsid w:val="00B11520"/>
    <w:rsid w:val="00B135E7"/>
    <w:rsid w:val="00B14011"/>
    <w:rsid w:val="00B14D35"/>
    <w:rsid w:val="00B211F7"/>
    <w:rsid w:val="00B21C53"/>
    <w:rsid w:val="00B23EFE"/>
    <w:rsid w:val="00B24336"/>
    <w:rsid w:val="00B3656D"/>
    <w:rsid w:val="00B7201D"/>
    <w:rsid w:val="00B809B3"/>
    <w:rsid w:val="00B80AFD"/>
    <w:rsid w:val="00B80E44"/>
    <w:rsid w:val="00B854DC"/>
    <w:rsid w:val="00B90F81"/>
    <w:rsid w:val="00B91BF9"/>
    <w:rsid w:val="00BB2482"/>
    <w:rsid w:val="00BC331F"/>
    <w:rsid w:val="00BC4545"/>
    <w:rsid w:val="00BD79EC"/>
    <w:rsid w:val="00BE204A"/>
    <w:rsid w:val="00BE26FC"/>
    <w:rsid w:val="00BF23C7"/>
    <w:rsid w:val="00BF7456"/>
    <w:rsid w:val="00C035F3"/>
    <w:rsid w:val="00C078A1"/>
    <w:rsid w:val="00C3401C"/>
    <w:rsid w:val="00C473B8"/>
    <w:rsid w:val="00C603F9"/>
    <w:rsid w:val="00C60923"/>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423F"/>
    <w:rsid w:val="00D31191"/>
    <w:rsid w:val="00D33F23"/>
    <w:rsid w:val="00D34C64"/>
    <w:rsid w:val="00D34D11"/>
    <w:rsid w:val="00D41401"/>
    <w:rsid w:val="00D57B94"/>
    <w:rsid w:val="00D6038F"/>
    <w:rsid w:val="00D66913"/>
    <w:rsid w:val="00D72DA0"/>
    <w:rsid w:val="00D7394A"/>
    <w:rsid w:val="00D776DB"/>
    <w:rsid w:val="00D77ACD"/>
    <w:rsid w:val="00D77E55"/>
    <w:rsid w:val="00D81BE1"/>
    <w:rsid w:val="00D82FE6"/>
    <w:rsid w:val="00D83515"/>
    <w:rsid w:val="00D84AE0"/>
    <w:rsid w:val="00D86B15"/>
    <w:rsid w:val="00D9365A"/>
    <w:rsid w:val="00D94CF4"/>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169"/>
    <w:rsid w:val="00E66E37"/>
    <w:rsid w:val="00E73613"/>
    <w:rsid w:val="00E73A9B"/>
    <w:rsid w:val="00E74087"/>
    <w:rsid w:val="00E7752C"/>
    <w:rsid w:val="00E8330C"/>
    <w:rsid w:val="00E84646"/>
    <w:rsid w:val="00E875D8"/>
    <w:rsid w:val="00E87B2A"/>
    <w:rsid w:val="00E91F6E"/>
    <w:rsid w:val="00EA67B9"/>
    <w:rsid w:val="00EB0958"/>
    <w:rsid w:val="00EB167F"/>
    <w:rsid w:val="00EB28D8"/>
    <w:rsid w:val="00EB6042"/>
    <w:rsid w:val="00EB71AE"/>
    <w:rsid w:val="00EC050B"/>
    <w:rsid w:val="00EC310D"/>
    <w:rsid w:val="00EE77BF"/>
    <w:rsid w:val="00EF5225"/>
    <w:rsid w:val="00F0415D"/>
    <w:rsid w:val="00F14E45"/>
    <w:rsid w:val="00F17CFC"/>
    <w:rsid w:val="00F272C0"/>
    <w:rsid w:val="00F42480"/>
    <w:rsid w:val="00F62572"/>
    <w:rsid w:val="00F6488F"/>
    <w:rsid w:val="00F65A01"/>
    <w:rsid w:val="00F70CF6"/>
    <w:rsid w:val="00F85DDC"/>
    <w:rsid w:val="00F91244"/>
    <w:rsid w:val="00F95319"/>
    <w:rsid w:val="00FA1EB7"/>
    <w:rsid w:val="00FB3056"/>
    <w:rsid w:val="00FB309C"/>
    <w:rsid w:val="00FB3C7C"/>
    <w:rsid w:val="00FB6E52"/>
    <w:rsid w:val="00FC5994"/>
    <w:rsid w:val="00FD2897"/>
    <w:rsid w:val="00FD4421"/>
    <w:rsid w:val="00FD4591"/>
    <w:rsid w:val="00FF242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99721C"/>
  <w15:docId w15:val="{E63AF625-97DE-47B3-8339-75ED0ED19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31BEB"/>
  </w:style>
  <w:style w:type="paragraph" w:styleId="BalloonText">
    <w:name w:val="Balloon Text"/>
    <w:basedOn w:val="Normal"/>
    <w:link w:val="BalloonTextChar"/>
    <w:semiHidden/>
    <w:unhideWhenUsed/>
    <w:rsid w:val="00AF0F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0F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679C9-7E86-4897-BE9F-8D4EF84A0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6935</Words>
  <Characters>37352</Characters>
  <Application>Microsoft Office Word</Application>
  <DocSecurity>0</DocSecurity>
  <Lines>741</Lines>
  <Paragraphs>96</Paragraphs>
  <ScaleCrop>false</ScaleCrop>
  <HeadingPairs>
    <vt:vector size="2" baseType="variant">
      <vt:variant>
        <vt:lpstr>Title</vt:lpstr>
      </vt:variant>
      <vt:variant>
        <vt:i4>1</vt:i4>
      </vt:variant>
    </vt:vector>
  </HeadingPairs>
  <TitlesOfParts>
    <vt:vector size="1" baseType="lpstr">
      <vt:lpstr>S397 TR</vt:lpstr>
    </vt:vector>
  </TitlesOfParts>
  <Manager>R230</Manager>
  <Company>OFFICE of LEGISLATIVE SERVICES</Company>
  <LinksUpToDate>false</LinksUpToDate>
  <CharactersWithSpaces>44309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 TR</dc:title>
  <dc:creator>Senator  WEINBERG, Senator  TURNER</dc:creator>
  <cp:keywords>S397|17|CL |84|0|311|!|0|</cp:keywords>
  <dc:description>PREFILED 2020_x000d_
TR May 6, 2021</dc:description>
  <cp:lastModifiedBy>Siracusa, Nicole</cp:lastModifiedBy>
  <cp:revision>2</cp:revision>
  <cp:lastPrinted>2021-06-23T14:47:00Z</cp:lastPrinted>
  <dcterms:created xsi:type="dcterms:W3CDTF">2021-06-23T14:47:00Z</dcterms:created>
  <dcterms:modified xsi:type="dcterms:W3CDTF">2021-06-23T14:47:00Z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