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63A0" w:rsidRDefault="00EF63A0" w:rsidP="00EF63A0">
      <w:pPr>
        <w:pStyle w:val="bpuBill"/>
      </w:pPr>
      <w:bookmarkStart w:id="0" w:name="bpuFrontPg"/>
      <w:bookmarkStart w:id="1" w:name="_GoBack"/>
      <w:bookmarkEnd w:id="0"/>
      <w:bookmarkEnd w:id="1"/>
      <w:r>
        <w:t xml:space="preserve">SENATE, No. 422 </w:t>
      </w:r>
    </w:p>
    <w:p w:rsidR="00EF63A0" w:rsidRPr="00EF63A0" w:rsidRDefault="00EF63A0" w:rsidP="00EF63A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6513683" r:id="rId8"/>
        </w:object>
      </w:r>
    </w:p>
    <w:p w:rsidR="00EF63A0" w:rsidRDefault="00EF63A0" w:rsidP="00EF63A0">
      <w:pPr>
        <w:pStyle w:val="bpuState"/>
      </w:pPr>
      <w:r>
        <w:t>STATE OF NEW JERSEY</w:t>
      </w:r>
    </w:p>
    <w:p w:rsidR="00EF63A0" w:rsidRDefault="00EF63A0" w:rsidP="00EF63A0">
      <w:pPr>
        <w:pStyle w:val="bpuLegislature"/>
      </w:pPr>
      <w:r>
        <w:t>219th LEGISLATURE</w:t>
      </w:r>
    </w:p>
    <w:p w:rsidR="00EF63A0" w:rsidRDefault="00EF63A0" w:rsidP="00EF63A0">
      <w:pPr>
        <w:pStyle w:val="bpuWpGraphic"/>
      </w:pPr>
      <w:r>
        <w:object w:dxaOrig="8985" w:dyaOrig="255">
          <v:shape id="_x0000_i1026" type="#_x0000_t75" style="width:6in;height:12pt" o:ole="">
            <v:imagedata r:id="rId7" o:title=""/>
          </v:shape>
          <o:OLEObject Type="Embed" ProgID="WPWin6.1" ShapeID="_x0000_i1026" DrawAspect="Content" ObjectID="_1666513684" r:id="rId9"/>
        </w:object>
      </w:r>
      <w:r>
        <w:t xml:space="preserve">  </w:t>
      </w:r>
    </w:p>
    <w:p w:rsidR="00EF63A0" w:rsidRDefault="00EF63A0" w:rsidP="00EF63A0">
      <w:pPr>
        <w:pStyle w:val="bpuIntro"/>
      </w:pPr>
      <w:r>
        <w:t>PRE-FILED FOR INTRODUCTION IN THE 2020 SESSION</w:t>
      </w:r>
    </w:p>
    <w:p w:rsidR="00EF63A0" w:rsidRDefault="00EF63A0" w:rsidP="00EF63A0">
      <w:pPr>
        <w:pStyle w:val="bpuIntro"/>
      </w:pPr>
    </w:p>
    <w:p w:rsidR="00EF63A0" w:rsidRDefault="00EF63A0" w:rsidP="00EF63A0">
      <w:pPr>
        <w:pStyle w:val="bpuIntro"/>
        <w:sectPr w:rsidR="00EF63A0" w:rsidSect="00EF63A0">
          <w:headerReference w:type="even" r:id="rId10"/>
          <w:headerReference w:type="default" r:id="rId11"/>
          <w:pgSz w:w="12240" w:h="20160" w:code="5"/>
          <w:pgMar w:top="2160" w:right="1440" w:bottom="1440" w:left="1440" w:header="720" w:footer="720" w:gutter="0"/>
          <w:pgNumType w:start="1"/>
          <w:cols w:space="720"/>
          <w:docGrid w:linePitch="360"/>
        </w:sectPr>
      </w:pPr>
    </w:p>
    <w:p w:rsidR="00EF63A0" w:rsidRDefault="00EF63A0" w:rsidP="00EF63A0">
      <w:pPr>
        <w:pStyle w:val="bpuIntro"/>
      </w:pPr>
    </w:p>
    <w:p w:rsidR="00EF63A0" w:rsidRDefault="00EF63A0" w:rsidP="00EF63A0">
      <w:pPr>
        <w:pStyle w:val="bpuSponsor"/>
      </w:pPr>
      <w:r>
        <w:t>Sponsored by:</w:t>
      </w:r>
    </w:p>
    <w:p w:rsidR="00EF63A0" w:rsidRDefault="00EF63A0" w:rsidP="00EF63A0">
      <w:pPr>
        <w:pStyle w:val="bpuSponsor"/>
      </w:pPr>
      <w:r>
        <w:t>Senator  SHIRLEY K. TURNER</w:t>
      </w:r>
    </w:p>
    <w:p w:rsidR="00EF63A0" w:rsidRDefault="00EF63A0" w:rsidP="00EF63A0">
      <w:pPr>
        <w:pStyle w:val="bpuSponsor"/>
      </w:pPr>
      <w:r>
        <w:t>District 15 (Hunterdon and Mercer)</w:t>
      </w:r>
    </w:p>
    <w:p w:rsidR="00EF63A0" w:rsidRDefault="00EF63A0" w:rsidP="00EF63A0">
      <w:pPr>
        <w:pStyle w:val="bpuSponsor"/>
      </w:pPr>
    </w:p>
    <w:p w:rsidR="00EF63A0" w:rsidRDefault="00EF63A0" w:rsidP="00EF63A0">
      <w:pPr>
        <w:pStyle w:val="bpuSponsor"/>
      </w:pPr>
    </w:p>
    <w:p w:rsidR="00EF63A0" w:rsidRDefault="00EF63A0" w:rsidP="00EF63A0">
      <w:pPr>
        <w:pStyle w:val="bpuSponsor"/>
      </w:pPr>
    </w:p>
    <w:p w:rsidR="00EF63A0" w:rsidRDefault="00EF63A0" w:rsidP="00EF63A0">
      <w:pPr>
        <w:pStyle w:val="bpuSponsor"/>
      </w:pPr>
    </w:p>
    <w:p w:rsidR="00EF63A0" w:rsidRDefault="00EF63A0" w:rsidP="00EF63A0">
      <w:pPr>
        <w:pStyle w:val="bpuSponsor"/>
      </w:pPr>
      <w:r>
        <w:t>SYNOPSIS</w:t>
      </w:r>
    </w:p>
    <w:p w:rsidR="00EF63A0" w:rsidRDefault="00EF63A0" w:rsidP="00EF63A0">
      <w:pPr>
        <w:pStyle w:val="bpuNormText"/>
      </w:pPr>
      <w:r>
        <w:tab/>
        <w:t xml:space="preserve">Establishes standards for expiration of rental housing affordability controls. </w:t>
      </w:r>
    </w:p>
    <w:p w:rsidR="00EF63A0" w:rsidRDefault="00EF63A0" w:rsidP="00EF63A0">
      <w:pPr>
        <w:pStyle w:val="bpuNormText"/>
      </w:pPr>
    </w:p>
    <w:p w:rsidR="00EF63A0" w:rsidRDefault="00EF63A0" w:rsidP="00EF63A0">
      <w:pPr>
        <w:pStyle w:val="bpuSponsor"/>
      </w:pPr>
      <w:r>
        <w:t xml:space="preserve">CURRENT VERSION OF TEXT </w:t>
      </w:r>
    </w:p>
    <w:p w:rsidR="00EF63A0" w:rsidRDefault="00174A31" w:rsidP="00EF63A0">
      <w:pPr>
        <w:pStyle w:val="bpuNormText"/>
      </w:pPr>
      <w:r>
        <w:tab/>
        <w:t>As reported by the Senate Community and Urban Affairs Committee with technical review.</w:t>
      </w:r>
    </w:p>
    <w:p w:rsidR="00EF63A0" w:rsidRDefault="00EF63A0" w:rsidP="00EF63A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F63A0" w:rsidRDefault="00EF63A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F63A0" w:rsidSect="00EF63A0">
          <w:type w:val="continuous"/>
          <w:pgSz w:w="12240" w:h="20160" w:code="5"/>
          <w:pgMar w:top="2160" w:right="2275" w:bottom="1440" w:left="2275" w:header="72" w:footer="720" w:gutter="0"/>
          <w:pgNumType w:start="1"/>
          <w:cols w:space="720"/>
          <w:docGrid w:linePitch="360"/>
        </w:sectPr>
      </w:pPr>
    </w:p>
    <w:p w:rsidR="005F7789" w:rsidRPr="00677316" w:rsidRDefault="005F7789" w:rsidP="005F7789">
      <w:pPr>
        <w:pStyle w:val="HangingAnAct"/>
        <w:rPr>
          <w:rStyle w:val="HangingAnActChar"/>
        </w:rPr>
      </w:pPr>
      <w:r w:rsidRPr="005F7789">
        <w:rPr>
          <w:rStyle w:val="BillHead"/>
        </w:rPr>
        <w:lastRenderedPageBreak/>
        <w:t>An Act</w:t>
      </w:r>
      <w:r w:rsidRPr="006B7FA7">
        <w:rPr>
          <w:rStyle w:val="HangingAnActChar"/>
        </w:rPr>
        <w:t xml:space="preserve"> </w:t>
      </w:r>
      <w:r w:rsidRPr="00841271">
        <w:rPr>
          <w:rStyle w:val="HangingAnActChar"/>
        </w:rPr>
        <w:t xml:space="preserve">concerning </w:t>
      </w:r>
      <w:r>
        <w:rPr>
          <w:rStyle w:val="HangingAnActChar"/>
        </w:rPr>
        <w:t>rental housing</w:t>
      </w:r>
      <w:r w:rsidRPr="00841271">
        <w:rPr>
          <w:rStyle w:val="HangingAnActChar"/>
        </w:rPr>
        <w:t xml:space="preserve"> affordability control periods </w:t>
      </w:r>
      <w:r>
        <w:rPr>
          <w:rStyle w:val="HangingAnActChar"/>
        </w:rPr>
        <w:t>and supplementing P.L.1985, c.</w:t>
      </w:r>
      <w:r w:rsidRPr="00841271">
        <w:rPr>
          <w:rStyle w:val="HangingAnActChar"/>
        </w:rPr>
        <w:t>222 (C.52:27D-301 et seq.).</w:t>
      </w:r>
    </w:p>
    <w:p w:rsidR="005F7789" w:rsidRPr="00D71D68" w:rsidRDefault="005F7789" w:rsidP="005F7789"/>
    <w:p w:rsidR="005F7789" w:rsidRPr="00AA7880" w:rsidRDefault="005F7789" w:rsidP="005F7789">
      <w:r>
        <w:tab/>
      </w:r>
      <w:r>
        <w:rPr>
          <w:rStyle w:val="BillHeading2"/>
        </w:rPr>
        <w:t xml:space="preserve">Be It Enacted </w:t>
      </w:r>
      <w:r>
        <w:rPr>
          <w:rStyle w:val="BillLanguage"/>
        </w:rPr>
        <w:t>by the Senate and General Assembly of the State of New Jersey:</w:t>
      </w:r>
    </w:p>
    <w:p w:rsidR="005F7789" w:rsidRPr="00D71D68" w:rsidRDefault="005F7789" w:rsidP="005F7789"/>
    <w:p w:rsidR="005F7789" w:rsidRDefault="005F7789" w:rsidP="005F7789">
      <w:r>
        <w:tab/>
        <w:t>1.</w:t>
      </w:r>
      <w:r>
        <w:tab/>
        <w:t>As used in P.L.    , c.    (C.        ) (pending before the Legislature as this bill):</w:t>
      </w:r>
    </w:p>
    <w:p w:rsidR="005F7789" w:rsidRDefault="005F7789" w:rsidP="005F7789">
      <w:r>
        <w:tab/>
        <w:t xml:space="preserve">“Affordability controls” means the requirements set forth in the Uniform Housing Affordability Controls to ensure that a restricted rental unit remains affordable to a </w:t>
      </w:r>
      <w:r w:rsidRPr="005A4318">
        <w:t>low-income household or moderate-</w:t>
      </w:r>
      <w:r>
        <w:t>income household, as applicable.</w:t>
      </w:r>
    </w:p>
    <w:p w:rsidR="005F7789" w:rsidRDefault="005F7789" w:rsidP="005F7789">
      <w:r>
        <w:tab/>
        <w:t>“Restricted rental unit” means a rental dwelling unit that is subject to affordability controls.</w:t>
      </w:r>
    </w:p>
    <w:p w:rsidR="005F7789" w:rsidRDefault="005F7789" w:rsidP="005F7789">
      <w:r>
        <w:tab/>
      </w:r>
      <w:r w:rsidRPr="00433F74">
        <w:t>“Uniform Housing Affordability Controls” means</w:t>
      </w:r>
      <w:r>
        <w:t xml:space="preserve"> the regulations </w:t>
      </w:r>
      <w:r w:rsidRPr="00652A10">
        <w:t>promulgated by the New Jersey Housing and Mortgage Finance Agency</w:t>
      </w:r>
      <w:r>
        <w:t>,</w:t>
      </w:r>
      <w:r w:rsidRPr="00652A10">
        <w:t xml:space="preserve"> or </w:t>
      </w:r>
      <w:r>
        <w:t>any other</w:t>
      </w:r>
      <w:r w:rsidRPr="00652A10">
        <w:t xml:space="preserve"> regulations</w:t>
      </w:r>
      <w:r>
        <w:t xml:space="preserve"> promulgated to </w:t>
      </w:r>
      <w:r w:rsidRPr="00652A10">
        <w:t>implement the “</w:t>
      </w:r>
      <w:r>
        <w:t>Fair Housing Act,” P.L.1985, c.</w:t>
      </w:r>
      <w:r w:rsidRPr="00652A10">
        <w:t>222 (C.52:27D-301 et seq.).</w:t>
      </w:r>
    </w:p>
    <w:p w:rsidR="005F7789" w:rsidRDefault="005F7789" w:rsidP="005F7789"/>
    <w:p w:rsidR="005F7789" w:rsidRDefault="00174A31" w:rsidP="00174A31">
      <w:pPr>
        <w:tabs>
          <w:tab w:val="clear" w:pos="1440"/>
          <w:tab w:val="left" w:pos="1170"/>
        </w:tabs>
      </w:pPr>
      <w:r>
        <w:tab/>
        <w:t>2.</w:t>
      </w:r>
      <w:r>
        <w:tab/>
        <w:t>a.</w:t>
      </w:r>
      <w:r>
        <w:tab/>
      </w:r>
      <w:r w:rsidR="005F7789">
        <w:t xml:space="preserve">When the affordability controls of a restricted rental unit expire, and the household occupying the rental unit continues to earn a gross annual income of not more than 80 percent of the regional median income, then the landlord shall not increase rent in a manner that conflicts with the affordability controls until the household elects to vacate the rental unit.  </w:t>
      </w:r>
    </w:p>
    <w:p w:rsidR="005F7789" w:rsidRDefault="005F7789" w:rsidP="005F7789">
      <w:r>
        <w:tab/>
        <w:t>b.</w:t>
      </w:r>
      <w:r>
        <w:tab/>
        <w:t>When the affordability controls of a restricted rental unit expire, and the household occupying the rental unit earns a gross annual income in excess of 80 percent of the regional median income, then the landlord may lease the rental unit at fair market rent beginning on the next scheduled lease renewal or after 60 days, whichever occurs later.</w:t>
      </w:r>
    </w:p>
    <w:p w:rsidR="005F7789" w:rsidRDefault="005F7789" w:rsidP="005F7789"/>
    <w:p w:rsidR="005F7789" w:rsidRDefault="00174A31" w:rsidP="00174A31">
      <w:pPr>
        <w:tabs>
          <w:tab w:val="clear" w:pos="1440"/>
          <w:tab w:val="left" w:pos="1170"/>
        </w:tabs>
      </w:pPr>
      <w:r>
        <w:tab/>
        <w:t>3.</w:t>
      </w:r>
      <w:r>
        <w:tab/>
        <w:t>a.</w:t>
      </w:r>
      <w:r>
        <w:tab/>
      </w:r>
      <w:r w:rsidR="005F7789">
        <w:t xml:space="preserve">When a landlord offers for rent a restricted rental unit, the lease or renewal agreement shall contain a prominently displayed and highlighted provision on the first page of the written document that states the date on which </w:t>
      </w:r>
      <w:r w:rsidR="005F7789" w:rsidRPr="00832AB1">
        <w:t xml:space="preserve">the </w:t>
      </w:r>
      <w:r w:rsidR="005F7789">
        <w:t>affordability controls</w:t>
      </w:r>
      <w:r w:rsidR="005F7789" w:rsidRPr="00832AB1">
        <w:t xml:space="preserve"> will expire.  The provision also shall inform</w:t>
      </w:r>
      <w:r w:rsidR="005F7789">
        <w:t xml:space="preserve"> the tenant of the possibility of rent increases in accordance with subsection b. of section 2 of P.L.    , c.</w:t>
      </w:r>
      <w:r w:rsidR="00EF63A0">
        <w:t>    </w:t>
      </w:r>
      <w:r w:rsidR="005F7789">
        <w:t xml:space="preserve">(C.        ) (pending before the Legislature as this bill), following the expiration of the affordability controls.  </w:t>
      </w:r>
    </w:p>
    <w:p w:rsidR="00EF63A0" w:rsidRDefault="005F7789" w:rsidP="00EF63A0">
      <w:r>
        <w:tab/>
        <w:t>b.</w:t>
      </w:r>
      <w:r>
        <w:tab/>
        <w:t xml:space="preserve">If upon the expiration of affordability controls, the lease or renewal agreement of the household occupying the rental unit fails to comply with subsection a. of this section, then </w:t>
      </w:r>
      <w:r w:rsidRPr="00832AB1">
        <w:t xml:space="preserve">the landlord shall not increase rent in a manner that conflicts with the affordability controls until </w:t>
      </w:r>
      <w:r>
        <w:t xml:space="preserve">the </w:t>
      </w:r>
      <w:r w:rsidRPr="00ED4730">
        <w:t>next scheduled lease renewal</w:t>
      </w:r>
      <w:r>
        <w:t xml:space="preserve">, except as otherwise provided in subsection a. of section 2 </w:t>
      </w:r>
      <w:r w:rsidRPr="00890B5E">
        <w:t>of P.L.    , c.    (C.        ) (pending before the Legislature as this bill)</w:t>
      </w:r>
      <w:r>
        <w:t>.</w:t>
      </w:r>
      <w:r w:rsidR="00EF63A0">
        <w:br w:type="page"/>
      </w:r>
    </w:p>
    <w:p w:rsidR="005F7789" w:rsidRDefault="005F7789" w:rsidP="005F7789">
      <w:r>
        <w:lastRenderedPageBreak/>
        <w:tab/>
        <w:t>4.</w:t>
      </w:r>
      <w:r>
        <w:tab/>
        <w:t>a.  The landlord of a restricted rental unit shall provide written notice to the tenant not less than 120 days before the scheduled expiration of the affordability controls.  The written notice shall, at a minimum, include:</w:t>
      </w:r>
    </w:p>
    <w:p w:rsidR="005F7789" w:rsidRDefault="005F7789" w:rsidP="005F7789">
      <w:r>
        <w:tab/>
        <w:t>(1)</w:t>
      </w:r>
      <w:r>
        <w:tab/>
        <w:t>the date on which the affordability controls will expire;</w:t>
      </w:r>
    </w:p>
    <w:p w:rsidR="005F7789" w:rsidRDefault="005F7789" w:rsidP="005F7789">
      <w:r>
        <w:tab/>
        <w:t>(2)</w:t>
      </w:r>
      <w:r>
        <w:tab/>
        <w:t>the amount of any proposed rent increase; and</w:t>
      </w:r>
    </w:p>
    <w:p w:rsidR="005F7789" w:rsidRDefault="005F7789" w:rsidP="005F7789">
      <w:r>
        <w:tab/>
        <w:t>(3)</w:t>
      </w:r>
      <w:r>
        <w:tab/>
        <w:t xml:space="preserve">an explanation that if the household occupying the rental unit continues to </w:t>
      </w:r>
      <w:r w:rsidRPr="00AB5DA0">
        <w:t>earn a gross annual income of not more than 80 percent of t</w:t>
      </w:r>
      <w:r>
        <w:t xml:space="preserve">he regional median income, the </w:t>
      </w:r>
      <w:r w:rsidRPr="00AB5DA0">
        <w:t>rent</w:t>
      </w:r>
      <w:r>
        <w:t xml:space="preserve"> may not be increased</w:t>
      </w:r>
      <w:r w:rsidRPr="00AB5DA0">
        <w:t xml:space="preserve"> in a manner that conflicts with the affordability controls.</w:t>
      </w:r>
    </w:p>
    <w:p w:rsidR="005F7789" w:rsidRDefault="005F7789" w:rsidP="005F7789">
      <w:r>
        <w:tab/>
        <w:t>b.</w:t>
      </w:r>
      <w:r>
        <w:tab/>
        <w:t>E</w:t>
      </w:r>
      <w:r w:rsidRPr="00A42508">
        <w:t>xcept as otherwise provided in subsection a. of section 2 of P.L.    , c.    (C.        ) (pending befor</w:t>
      </w:r>
      <w:r>
        <w:t xml:space="preserve">e the Legislature as this bill), if the landlord fails to provide written notice in accordance with subsection a. of this section, then following the expiration of the affordability controls, the landlord </w:t>
      </w:r>
      <w:r w:rsidRPr="00A818B3">
        <w:t>shall not increase rent in a manner that conflicts with the affordability controls until the next scheduled lease renewal</w:t>
      </w:r>
      <w:r>
        <w:t>, or after 120 days following the provision of the written notice, whichever occurs later</w:t>
      </w:r>
      <w:r w:rsidRPr="00A818B3">
        <w:t>.</w:t>
      </w:r>
    </w:p>
    <w:p w:rsidR="005F7789" w:rsidRDefault="005F7789" w:rsidP="005F7789"/>
    <w:p w:rsidR="005F7789" w:rsidRDefault="005F7789" w:rsidP="005F7789">
      <w:r>
        <w:tab/>
        <w:t>5.</w:t>
      </w:r>
      <w:r>
        <w:tab/>
        <w:t xml:space="preserve">This act shall take effect immediately.  </w:t>
      </w:r>
    </w:p>
    <w:sectPr w:rsidR="005F7789" w:rsidSect="00EF63A0">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782D" w:rsidRDefault="0048782D">
      <w:r>
        <w:separator/>
      </w:r>
    </w:p>
  </w:endnote>
  <w:endnote w:type="continuationSeparator" w:id="0">
    <w:p w:rsidR="0048782D" w:rsidRDefault="004878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782D" w:rsidRDefault="0048782D">
      <w:r>
        <w:separator/>
      </w:r>
    </w:p>
  </w:footnote>
  <w:footnote w:type="continuationSeparator" w:id="0">
    <w:p w:rsidR="0048782D" w:rsidRDefault="004878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E2D1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F63A0" w:rsidRDefault="00EF63A0" w:rsidP="00EF63A0">
    <w:pPr>
      <w:pStyle w:val="bpuHeadSpon"/>
    </w:pPr>
    <w:r w:rsidRPr="00EF63A0">
      <w:rPr>
        <w:rStyle w:val="bpuHeadSponChar"/>
      </w:rPr>
      <w:t>S422</w:t>
    </w:r>
    <w:r>
      <w:t xml:space="preserve"> TURNER</w:t>
    </w:r>
  </w:p>
  <w:p w:rsidR="00EF63A0" w:rsidRDefault="00EF63A0" w:rsidP="00EF63A0">
    <w:pPr>
      <w:pStyle w:val="bpuHeadSpon"/>
    </w:pPr>
    <w:r>
      <w:fldChar w:fldCharType="begin"/>
    </w:r>
    <w:r>
      <w:instrText xml:space="preserve"> PAGE  \* MERGEFORMAT </w:instrText>
    </w:r>
    <w:r>
      <w:fldChar w:fldCharType="separate"/>
    </w:r>
    <w:r w:rsidR="000868BA">
      <w:rPr>
        <w:noProof/>
      </w:rPr>
      <w:t>3</w:t>
    </w:r>
    <w:r>
      <w:fldChar w:fldCharType="end"/>
    </w:r>
  </w:p>
  <w:p w:rsidR="00EF63A0" w:rsidRPr="00AF575C" w:rsidRDefault="00EF63A0" w:rsidP="00EF63A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F63A0" w:rsidRDefault="00EF63A0" w:rsidP="00EF63A0">
    <w:pPr>
      <w:pStyle w:val="bpuHeadSpon"/>
    </w:pPr>
    <w:r w:rsidRPr="00EF63A0">
      <w:rPr>
        <w:rStyle w:val="bpuHeadSponChar"/>
      </w:rPr>
      <w:t>S422</w:t>
    </w:r>
    <w:r>
      <w:t xml:space="preserve"> TURNER</w:t>
    </w:r>
  </w:p>
  <w:p w:rsidR="00EF63A0" w:rsidRDefault="00EF63A0" w:rsidP="00EF63A0">
    <w:pPr>
      <w:pStyle w:val="bpuHeadSpon"/>
    </w:pPr>
    <w:r>
      <w:fldChar w:fldCharType="begin"/>
    </w:r>
    <w:r>
      <w:instrText xml:space="preserve"> PAGE  \* MERGEFORMAT </w:instrText>
    </w:r>
    <w:r>
      <w:fldChar w:fldCharType="separate"/>
    </w:r>
    <w:r w:rsidR="000868BA">
      <w:rPr>
        <w:noProof/>
      </w:rPr>
      <w:t>2</w:t>
    </w:r>
    <w:r>
      <w:fldChar w:fldCharType="end"/>
    </w:r>
  </w:p>
  <w:p w:rsidR="00EF63A0" w:rsidRDefault="00EF63A0" w:rsidP="00EF63A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782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68BA"/>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4A31"/>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9E0"/>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63AE"/>
    <w:rsid w:val="003E7B4E"/>
    <w:rsid w:val="003F145F"/>
    <w:rsid w:val="003F4A22"/>
    <w:rsid w:val="004040F9"/>
    <w:rsid w:val="00406A85"/>
    <w:rsid w:val="0041453D"/>
    <w:rsid w:val="0044404C"/>
    <w:rsid w:val="00470114"/>
    <w:rsid w:val="00470ABF"/>
    <w:rsid w:val="0048038F"/>
    <w:rsid w:val="00484B8A"/>
    <w:rsid w:val="0048782D"/>
    <w:rsid w:val="004A5222"/>
    <w:rsid w:val="004B0CE3"/>
    <w:rsid w:val="004B5C78"/>
    <w:rsid w:val="004B667A"/>
    <w:rsid w:val="004B6E61"/>
    <w:rsid w:val="004B75D5"/>
    <w:rsid w:val="004C0EE5"/>
    <w:rsid w:val="004C1B1C"/>
    <w:rsid w:val="004C2B44"/>
    <w:rsid w:val="004D03DA"/>
    <w:rsid w:val="004D1B2E"/>
    <w:rsid w:val="004D76F0"/>
    <w:rsid w:val="004F18AF"/>
    <w:rsid w:val="004F6EF2"/>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5F7789"/>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49F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487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D2860"/>
    <w:rsid w:val="00DF4E47"/>
    <w:rsid w:val="00E0012A"/>
    <w:rsid w:val="00E025E4"/>
    <w:rsid w:val="00E03582"/>
    <w:rsid w:val="00E05DFC"/>
    <w:rsid w:val="00E10311"/>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EF63A0"/>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E0729"/>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2B489A0-67AD-4281-8656-2D186E15A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F63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76019E-FC91-45AD-9774-9F4A7B0AAD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648</Words>
  <Characters>3411</Characters>
  <Application>Microsoft Office Word</Application>
  <DocSecurity>0</DocSecurity>
  <Lines>91</Lines>
  <Paragraphs>27</Paragraphs>
  <ScaleCrop>false</ScaleCrop>
  <HeadingPairs>
    <vt:vector size="2" baseType="variant">
      <vt:variant>
        <vt:lpstr>Title</vt:lpstr>
      </vt:variant>
      <vt:variant>
        <vt:i4>1</vt:i4>
      </vt:variant>
    </vt:vector>
  </HeadingPairs>
  <TitlesOfParts>
    <vt:vector size="1" baseType="lpstr">
      <vt:lpstr>S422</vt:lpstr>
    </vt:vector>
  </TitlesOfParts>
  <Manager>R230</Manager>
  <Company>OFFICE of LEGISLATIVE SERVICES</Company>
  <LinksUpToDate>false</LinksUpToDate>
  <CharactersWithSpaces>4117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S422 TR</dc:title>
  <dc:creator>Senator  TURNER</dc:creator>
  <cp:keywords>S422|3|LP |268|0|297|!|0|</cp:keywords>
  <dc:description>PREFILED 2020_x000d_
TR NOVEMBER 9, 2020</dc:description>
  <cp:lastModifiedBy>Bektas, Brenda</cp:lastModifiedBy>
  <cp:revision>2</cp:revision>
  <cp:lastPrinted>2005-07-29T18:13:00Z</cp:lastPrinted>
  <dcterms:created xsi:type="dcterms:W3CDTF">2020-11-10T16:41:00Z</dcterms:created>
  <dcterms:modified xsi:type="dcterms:W3CDTF">2020-11-10T16:41:00Z</dcterms:modified>
  <cp:category>ss.1-4:  C. 52:27D-324.1 et seq. to 2020/109</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