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91D5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91D5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426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91D56">
        <w:rPr>
          <w:caps/>
          <w:szCs w:val="24"/>
        </w:rPr>
        <w:t>SEPTEMBER 21, 2020</w:t>
      </w:r>
    </w:p>
    <w:p w:rsidR="00655CA3" w:rsidRDefault="00655CA3" w:rsidP="0083060A"/>
    <w:p w:rsidR="00702646" w:rsidRPr="00603616" w:rsidRDefault="00702646" w:rsidP="00702646">
      <w:r>
        <w:tab/>
      </w:r>
      <w:r w:rsidRPr="00603616">
        <w:t>The Senate Community and Urban Affairs Committee report</w:t>
      </w:r>
      <w:r>
        <w:t>s favorably Senate Bill No. 426</w:t>
      </w:r>
      <w:r w:rsidRPr="00603616">
        <w:t>.</w:t>
      </w:r>
    </w:p>
    <w:p w:rsidR="00C01F31" w:rsidRPr="00C92320" w:rsidRDefault="00C01F31" w:rsidP="00C01F31">
      <w:r>
        <w:tab/>
      </w:r>
      <w:r w:rsidRPr="00C92320">
        <w:t>This bill would revise the definition of “landlord” for purposes o</w:t>
      </w:r>
      <w:r w:rsidR="00573C4C">
        <w:t>f P.L.1993, c.127 (C.40:48-2.12n</w:t>
      </w:r>
      <w:r w:rsidRPr="00C92320">
        <w:t xml:space="preserve"> et seq.) in order to include owners and operators of rooming and boarding houses.  This would authorize a municipality to adopt ordinances to enforce standards of responsible conduct in a community with respect to these houses.</w:t>
      </w:r>
    </w:p>
    <w:p w:rsidR="00C01F31" w:rsidRPr="00C92320" w:rsidRDefault="00C01F31" w:rsidP="00C01F31">
      <w:r w:rsidRPr="00C92320">
        <w:tab/>
        <w:t xml:space="preserve">Section 3 of P.L.1993, c.127 (C.40:48-2.12p) grants a municipality the authority to adopt an ordinance to curb and discourage occasional excesses arising from irresponsible rentals in an effort to protect a community’s interest in preserving peace and tranquility.  Currently, only smaller, non-professionally managed rental properties of less than four units and owners of mobile home units may be the subject of such an </w:t>
      </w:r>
      <w:r>
        <w:t xml:space="preserve">ordinance.  This bill extends </w:t>
      </w:r>
      <w:r w:rsidRPr="00C92320">
        <w:t>the definition of “landlord” in section 2 of P.L.1993, c.127 (C.40:48-2.12o) to include owners and operators of rooming and boarding houses.  Specifically, this revision would authorize the governing body of a municipality to adopt an ordinance holding owners and operators of rooming and boarding houses to the same standards of responsibility as may be required of smaller, non-professionally managed rental properties of less than four units and mobile home owners.</w:t>
      </w:r>
    </w:p>
    <w:p w:rsidR="00C01F31" w:rsidRDefault="00C01F31" w:rsidP="00C01F31">
      <w:r w:rsidRPr="00C92320">
        <w:tab/>
        <w:t>This revision would not impact the applicability of any existing municipal ordinance.  If a municipality has adopted an ordinance pursuant to section 3 of P.L.1993, c.127 (C.40:48-2.12p), another ordinance would have to be adopted with respect to owners and operators of rooming and boarding houses.</w:t>
      </w:r>
    </w:p>
    <w:p w:rsidR="00ED2153" w:rsidRDefault="00ED2153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ED215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D56" w:rsidRDefault="00391D56">
      <w:r>
        <w:separator/>
      </w:r>
    </w:p>
  </w:endnote>
  <w:endnote w:type="continuationSeparator" w:id="0">
    <w:p w:rsidR="00391D56" w:rsidRDefault="00391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D56" w:rsidRDefault="00391D56">
      <w:r>
        <w:separator/>
      </w:r>
    </w:p>
  </w:footnote>
  <w:footnote w:type="continuationSeparator" w:id="0">
    <w:p w:rsidR="00391D56" w:rsidRDefault="00391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57F79" w:rsidP="00257F7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57F79" w:rsidRDefault="00257F79" w:rsidP="00257F7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D5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0372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7F79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1DBE"/>
    <w:rsid w:val="0038423A"/>
    <w:rsid w:val="00385E25"/>
    <w:rsid w:val="00391D56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73C4C"/>
    <w:rsid w:val="00581591"/>
    <w:rsid w:val="005877B1"/>
    <w:rsid w:val="005A10AB"/>
    <w:rsid w:val="005A5CB6"/>
    <w:rsid w:val="005B0C35"/>
    <w:rsid w:val="005B6E29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2646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5B18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4341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1015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1F31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2153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4012"/>
    <w:rsid w:val="00F96003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64FD1C4F-B656-495F-82AA-C56616F3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81D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81D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292</Words>
  <Characters>1650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S426 SCU SEPTEMBER 21, 2020</vt:lpstr>
    </vt:vector>
  </TitlesOfParts>
  <Manager>R224</Manager>
  <Company>NJ OLS DMU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S426 SCU Statement  9/21/20</dc:title>
  <dc:subject/>
  <dc:creator>Senate SCU</dc:creator>
  <cp:keywords>S426|1|LG |266|0|0|!||</cp:keywords>
  <dc:description/>
  <cp:lastModifiedBy>Franks, Denise</cp:lastModifiedBy>
  <cp:revision>2</cp:revision>
  <cp:lastPrinted>2020-09-22T16:58:00Z</cp:lastPrinted>
  <dcterms:created xsi:type="dcterms:W3CDTF">2020-09-22T18:29:00Z</dcterms:created>
  <dcterms:modified xsi:type="dcterms:W3CDTF">2020-09-22T18:29:00Z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