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D18" w:rsidRDefault="003B6D18" w:rsidP="003B6D18">
      <w:pPr>
        <w:pStyle w:val="bpuBill"/>
      </w:pPr>
      <w:bookmarkStart w:id="0" w:name="bpuFrontPg"/>
      <w:bookmarkStart w:id="1" w:name="_GoBack"/>
      <w:bookmarkEnd w:id="0"/>
      <w:bookmarkEnd w:id="1"/>
      <w:r>
        <w:t xml:space="preserve">SENATE, No. 435 </w:t>
      </w:r>
    </w:p>
    <w:p w:rsidR="003B6D18" w:rsidRPr="003B6D18" w:rsidRDefault="003B6D18" w:rsidP="003B6D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230" r:id="rId8"/>
        </w:object>
      </w:r>
    </w:p>
    <w:p w:rsidR="003B6D18" w:rsidRDefault="003B6D18" w:rsidP="003B6D18">
      <w:pPr>
        <w:pStyle w:val="bpuState"/>
      </w:pPr>
      <w:r>
        <w:t>STATE OF NEW JERSEY</w:t>
      </w:r>
    </w:p>
    <w:p w:rsidR="003B6D18" w:rsidRDefault="003B6D18" w:rsidP="003B6D18">
      <w:pPr>
        <w:pStyle w:val="bpuLegislature"/>
      </w:pPr>
      <w:proofErr w:type="gramStart"/>
      <w:r>
        <w:t>219th</w:t>
      </w:r>
      <w:proofErr w:type="gramEnd"/>
      <w:r>
        <w:t xml:space="preserve"> LEGISLATURE</w:t>
      </w:r>
    </w:p>
    <w:p w:rsidR="003B6D18" w:rsidRDefault="003B6D18" w:rsidP="003B6D18">
      <w:pPr>
        <w:pStyle w:val="bpuWpGraphic"/>
      </w:pPr>
      <w:r>
        <w:object w:dxaOrig="8985" w:dyaOrig="255">
          <v:shape id="_x0000_i1026" type="#_x0000_t75" style="width:6in;height:11.8pt" o:ole="">
            <v:imagedata r:id="rId7" o:title=""/>
          </v:shape>
          <o:OLEObject Type="Embed" ProgID="WPWin6.1" ShapeID="_x0000_i1026" DrawAspect="Content" ObjectID="_1639980231" r:id="rId9"/>
        </w:object>
      </w:r>
      <w:r>
        <w:t xml:space="preserve">  </w:t>
      </w:r>
    </w:p>
    <w:p w:rsidR="003B6D18" w:rsidRDefault="003B6D18" w:rsidP="003B6D18">
      <w:pPr>
        <w:pStyle w:val="bpuIntro"/>
      </w:pPr>
      <w:r>
        <w:t>PRE-FILED FOR INTRODUCTION IN THE 2020 SESSION</w:t>
      </w:r>
    </w:p>
    <w:p w:rsidR="003B6D18" w:rsidRDefault="003B6D18" w:rsidP="003B6D18">
      <w:pPr>
        <w:pStyle w:val="bpuIntro"/>
      </w:pPr>
    </w:p>
    <w:p w:rsidR="003B6D18" w:rsidRDefault="003B6D18" w:rsidP="003B6D18">
      <w:pPr>
        <w:pStyle w:val="bpuIntro"/>
        <w:sectPr w:rsidR="003B6D18" w:rsidSect="003B6D18">
          <w:headerReference w:type="even" r:id="rId10"/>
          <w:headerReference w:type="default" r:id="rId11"/>
          <w:pgSz w:w="12240" w:h="20160" w:code="5"/>
          <w:pgMar w:top="2160" w:right="1440" w:bottom="1440" w:left="1440" w:header="720" w:footer="720" w:gutter="0"/>
          <w:pgNumType w:start="1"/>
          <w:cols w:space="720"/>
          <w:docGrid w:linePitch="360"/>
        </w:sectPr>
      </w:pPr>
    </w:p>
    <w:p w:rsidR="003B6D18" w:rsidRDefault="003B6D18" w:rsidP="003B6D18">
      <w:pPr>
        <w:pStyle w:val="bpuIntro"/>
      </w:pPr>
    </w:p>
    <w:p w:rsidR="003B6D18" w:rsidRDefault="003B6D18" w:rsidP="003B6D18">
      <w:pPr>
        <w:pStyle w:val="bpuSponsor"/>
      </w:pPr>
      <w:r>
        <w:t>Sponsored by:</w:t>
      </w:r>
    </w:p>
    <w:p w:rsidR="003B6D18" w:rsidRDefault="003B6D18" w:rsidP="003B6D18">
      <w:pPr>
        <w:pStyle w:val="bpuSponsor"/>
      </w:pPr>
      <w:proofErr w:type="gramStart"/>
      <w:r>
        <w:t>Senator  STEVEN</w:t>
      </w:r>
      <w:proofErr w:type="gramEnd"/>
      <w:r>
        <w:t xml:space="preserve"> V. OROHO</w:t>
      </w:r>
    </w:p>
    <w:p w:rsidR="003B6D18" w:rsidRDefault="003B6D18" w:rsidP="003B6D18">
      <w:pPr>
        <w:pStyle w:val="bpuSponsor"/>
      </w:pPr>
      <w:r>
        <w:t>District 24 (Morris, Sussex and Warren)</w:t>
      </w:r>
    </w:p>
    <w:p w:rsidR="003B6D18" w:rsidRDefault="003B6D18" w:rsidP="003B6D18">
      <w:pPr>
        <w:pStyle w:val="bpuSponsor"/>
      </w:pPr>
      <w:proofErr w:type="gramStart"/>
      <w:r>
        <w:t>Senator  VIN</w:t>
      </w:r>
      <w:proofErr w:type="gramEnd"/>
      <w:r>
        <w:t xml:space="preserve"> GOPAL</w:t>
      </w:r>
    </w:p>
    <w:p w:rsidR="003B6D18" w:rsidRDefault="003B6D18" w:rsidP="003B6D18">
      <w:pPr>
        <w:pStyle w:val="bpuSponsor"/>
      </w:pPr>
      <w:r>
        <w:t>District 11 (Monmouth)</w:t>
      </w:r>
    </w:p>
    <w:p w:rsidR="003B6D18" w:rsidRDefault="003B6D18" w:rsidP="003B6D18">
      <w:pPr>
        <w:pStyle w:val="bpuSponsor"/>
      </w:pPr>
    </w:p>
    <w:p w:rsidR="003B6D18" w:rsidRDefault="003B6D18" w:rsidP="003B6D18">
      <w:pPr>
        <w:pStyle w:val="bpuSponsor"/>
      </w:pPr>
      <w:r>
        <w:t>Co-Sponsored by:</w:t>
      </w:r>
    </w:p>
    <w:p w:rsidR="003B6D18" w:rsidRPr="003B6D18" w:rsidRDefault="003B6D18" w:rsidP="003B6D18">
      <w:pPr>
        <w:pStyle w:val="bpuSponsor"/>
      </w:pPr>
      <w:r w:rsidRPr="003B6D18">
        <w:t>Senator Greenstein</w:t>
      </w:r>
    </w:p>
    <w:p w:rsidR="003B6D18" w:rsidRDefault="003B6D18" w:rsidP="003B6D18">
      <w:pPr>
        <w:pStyle w:val="bpuSponsor"/>
      </w:pPr>
    </w:p>
    <w:p w:rsidR="003B6D18" w:rsidRDefault="003B6D18" w:rsidP="003B6D18">
      <w:pPr>
        <w:pStyle w:val="bpuSponsor"/>
      </w:pPr>
    </w:p>
    <w:p w:rsidR="003B6D18" w:rsidRDefault="003B6D18" w:rsidP="003B6D18"/>
    <w:p w:rsidR="003B6D18" w:rsidRPr="003B6D18" w:rsidRDefault="003B6D18" w:rsidP="003B6D18"/>
    <w:p w:rsidR="003B6D18" w:rsidRDefault="003B6D18" w:rsidP="003B6D18">
      <w:pPr>
        <w:pStyle w:val="bpuSponsor"/>
      </w:pPr>
      <w:r>
        <w:t>SYNOPSIS</w:t>
      </w:r>
    </w:p>
    <w:p w:rsidR="003B6D18" w:rsidRDefault="003B6D18" w:rsidP="003B6D18">
      <w:pPr>
        <w:pStyle w:val="bpuNormText"/>
      </w:pPr>
      <w:r>
        <w:tab/>
        <w:t xml:space="preserve">Changes element of crime of strict liability for drug-induced death so that liability </w:t>
      </w:r>
      <w:proofErr w:type="gramStart"/>
      <w:r>
        <w:t>is based</w:t>
      </w:r>
      <w:proofErr w:type="gramEnd"/>
      <w:r>
        <w:t xml:space="preserve"> on drug being “direct contributing factor” to death. </w:t>
      </w:r>
    </w:p>
    <w:p w:rsidR="003B6D18" w:rsidRDefault="003B6D18" w:rsidP="003B6D18">
      <w:pPr>
        <w:pStyle w:val="bpuNormText"/>
      </w:pPr>
    </w:p>
    <w:p w:rsidR="003B6D18" w:rsidRDefault="003B6D18" w:rsidP="003B6D18">
      <w:pPr>
        <w:pStyle w:val="bpuSponsor"/>
      </w:pPr>
      <w:r>
        <w:t xml:space="preserve">CURRENT VERSION OF TEXT </w:t>
      </w:r>
    </w:p>
    <w:p w:rsidR="003B6D18" w:rsidRDefault="003B6D18" w:rsidP="003B6D18">
      <w:pPr>
        <w:pStyle w:val="bpuNormText"/>
      </w:pPr>
      <w:r>
        <w:tab/>
        <w:t>Introduced Pending Technical Review by Legislative Counsel.</w:t>
      </w:r>
    </w:p>
    <w:p w:rsidR="003B6D18" w:rsidRDefault="003B6D18" w:rsidP="003B6D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6D18" w:rsidRDefault="003B6D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6D18" w:rsidSect="003B6D18">
          <w:type w:val="continuous"/>
          <w:pgSz w:w="12240" w:h="20160" w:code="5"/>
          <w:pgMar w:top="2160" w:right="2275" w:bottom="1440" w:left="2275" w:header="72" w:footer="720" w:gutter="0"/>
          <w:pgNumType w:start="1"/>
          <w:cols w:space="720"/>
          <w:docGrid w:linePitch="360"/>
        </w:sectPr>
      </w:pPr>
    </w:p>
    <w:p w:rsidR="003075B0" w:rsidRPr="00677316" w:rsidRDefault="003075B0" w:rsidP="003075B0">
      <w:pPr>
        <w:pStyle w:val="HangingAnAct"/>
        <w:rPr>
          <w:rStyle w:val="HangingAnActChar"/>
        </w:rPr>
      </w:pPr>
      <w:r w:rsidRPr="003075B0">
        <w:rPr>
          <w:rStyle w:val="BillHead"/>
        </w:rPr>
        <w:lastRenderedPageBreak/>
        <w:t>An Act</w:t>
      </w:r>
      <w:r w:rsidRPr="006B7FA7">
        <w:rPr>
          <w:rStyle w:val="HangingAnActChar"/>
        </w:rPr>
        <w:t xml:space="preserve"> </w:t>
      </w:r>
      <w:r>
        <w:t>concerning the crime of strict liability for drug-induced death, and amending N.J.S.2C:35-9.</w:t>
      </w:r>
    </w:p>
    <w:p w:rsidR="003075B0" w:rsidRPr="00D71D68" w:rsidRDefault="003075B0" w:rsidP="003075B0"/>
    <w:p w:rsidR="003075B0" w:rsidRPr="00AA7880" w:rsidRDefault="003075B0" w:rsidP="003075B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075B0" w:rsidRDefault="003075B0" w:rsidP="003075B0"/>
    <w:p w:rsidR="003075B0" w:rsidRDefault="003075B0" w:rsidP="003075B0">
      <w:r>
        <w:tab/>
        <w:t>1.</w:t>
      </w:r>
      <w:r>
        <w:tab/>
        <w:t xml:space="preserve">N.J.S.2C:35-9 </w:t>
      </w:r>
      <w:proofErr w:type="gramStart"/>
      <w:r>
        <w:t>is amended</w:t>
      </w:r>
      <w:proofErr w:type="gramEnd"/>
      <w:r>
        <w:t xml:space="preserve"> to read as follows:</w:t>
      </w:r>
    </w:p>
    <w:p w:rsidR="003075B0" w:rsidRDefault="003075B0" w:rsidP="003075B0">
      <w:r>
        <w:tab/>
        <w:t>2C:35-9.</w:t>
      </w:r>
      <w:r>
        <w:tab/>
      </w:r>
      <w:proofErr w:type="gramStart"/>
      <w:r>
        <w:t>a. Any person who manufactures, distributes or dispenses methamphetamine, lysergic acid diethylamide, phencyclidine or any other controlled dangerous substance classified in Schedules I or II, or any controlled substance analog thereof, in violation of subsection a. of N.J.S.2C:35-5, is strictly liable for a death which results from the injection, inhalation or ingestion of that substance, and is guilty of a crime of the first degree.</w:t>
      </w:r>
      <w:proofErr w:type="gramEnd"/>
      <w:r>
        <w:t xml:space="preserve"> </w:t>
      </w:r>
    </w:p>
    <w:p w:rsidR="003075B0" w:rsidRDefault="003075B0" w:rsidP="003075B0">
      <w:r>
        <w:tab/>
        <w:t>b.</w:t>
      </w:r>
      <w:r>
        <w:tab/>
        <w:t xml:space="preserve">The provisions of N.J.S.2C:2-3 (governing the causal relationship between conduct and result) shall not apply in a prosecution under this section.  For purposes of this offense, the defendant's act of manufacturing, distributing or dispensing a substance is the cause of a death when: </w:t>
      </w:r>
    </w:p>
    <w:p w:rsidR="003075B0" w:rsidRDefault="003075B0" w:rsidP="003075B0">
      <w:r>
        <w:tab/>
        <w:t>(1)</w:t>
      </w:r>
      <w:r w:rsidR="003B6D18">
        <w:t xml:space="preserve"> </w:t>
      </w:r>
      <w:r>
        <w:t xml:space="preserve"> The injection, inhalation or ingestion of the substance is </w:t>
      </w:r>
      <w:r>
        <w:rPr>
          <w:rFonts w:ascii="Albertus Extra Bold" w:hAnsi="Albertus Extra Bold"/>
        </w:rPr>
        <w:t>[</w:t>
      </w:r>
      <w:r>
        <w:t>an antecedent but for which</w:t>
      </w:r>
      <w:r>
        <w:rPr>
          <w:rFonts w:ascii="Albertus Extra Bold" w:hAnsi="Albertus Extra Bold"/>
        </w:rPr>
        <w:t>]</w:t>
      </w:r>
      <w:r>
        <w:t xml:space="preserve"> </w:t>
      </w:r>
      <w:r>
        <w:rPr>
          <w:u w:val="single"/>
        </w:rPr>
        <w:t>a direct contributing factor to</w:t>
      </w:r>
      <w:r>
        <w:t xml:space="preserve"> the death </w:t>
      </w:r>
      <w:r>
        <w:rPr>
          <w:rFonts w:ascii="Albertus Extra Bold" w:hAnsi="Albertus Extra Bold"/>
        </w:rPr>
        <w:t>[</w:t>
      </w:r>
      <w:r>
        <w:t>would not have occurred</w:t>
      </w:r>
      <w:r>
        <w:rPr>
          <w:rFonts w:ascii="Albertus Extra Bold" w:hAnsi="Albertus Extra Bold"/>
        </w:rPr>
        <w:t>]</w:t>
      </w:r>
      <w:r>
        <w:t xml:space="preserve">; and </w:t>
      </w:r>
    </w:p>
    <w:p w:rsidR="003075B0" w:rsidRDefault="003075B0" w:rsidP="003075B0">
      <w:r>
        <w:tab/>
        <w:t>(2)</w:t>
      </w:r>
      <w:r w:rsidR="003B6D18">
        <w:t xml:space="preserve"> </w:t>
      </w:r>
      <w:r>
        <w:t xml:space="preserve"> The death was not: </w:t>
      </w:r>
    </w:p>
    <w:p w:rsidR="003075B0" w:rsidRDefault="003075B0" w:rsidP="003075B0">
      <w:r>
        <w:tab/>
        <w:t>(a)</w:t>
      </w:r>
      <w:r w:rsidR="003B6D18">
        <w:t xml:space="preserve"> </w:t>
      </w:r>
      <w:r>
        <w:t xml:space="preserve"> </w:t>
      </w:r>
      <w:proofErr w:type="gramStart"/>
      <w:r>
        <w:t>too</w:t>
      </w:r>
      <w:proofErr w:type="gramEnd"/>
      <w:r>
        <w:t xml:space="preserve"> remote in its occurrence as to have a just bearing on the defendant's liability; or </w:t>
      </w:r>
    </w:p>
    <w:p w:rsidR="003075B0" w:rsidRDefault="003075B0" w:rsidP="003075B0">
      <w:r>
        <w:tab/>
        <w:t xml:space="preserve">(b) </w:t>
      </w:r>
      <w:r w:rsidR="003B6D18">
        <w:t xml:space="preserve"> </w:t>
      </w:r>
      <w:proofErr w:type="gramStart"/>
      <w:r>
        <w:t>too</w:t>
      </w:r>
      <w:proofErr w:type="gramEnd"/>
      <w:r>
        <w:t xml:space="preserve"> dependent upon conduct of another person which was unrelated to the injection, inhalation or ingestion of the substance or its effect as to have a just bearing on the defendant's liability. </w:t>
      </w:r>
    </w:p>
    <w:p w:rsidR="003075B0" w:rsidRDefault="003075B0" w:rsidP="003075B0">
      <w:r>
        <w:tab/>
      </w:r>
      <w:proofErr w:type="gramStart"/>
      <w:r>
        <w:t>c.  It</w:t>
      </w:r>
      <w:proofErr w:type="gramEnd"/>
      <w:r>
        <w:t xml:space="preserve"> shall not be a defense to a prosecution under this section that the decedent contributed to his own death by his purposeful, knowing, reckless or negligent injection, inhalation or ingestion of the substance, or by his consenting to the administration of the substance by another. </w:t>
      </w:r>
    </w:p>
    <w:p w:rsidR="003075B0" w:rsidRDefault="003075B0" w:rsidP="003075B0">
      <w:r>
        <w:tab/>
      </w:r>
      <w:proofErr w:type="gramStart"/>
      <w:r>
        <w:t>d.  Nothing</w:t>
      </w:r>
      <w:proofErr w:type="gramEnd"/>
      <w:r>
        <w:t xml:space="preserve"> in this section shall be construed to preclude or limit any prosecution for homicide.  </w:t>
      </w:r>
      <w:proofErr w:type="gramStart"/>
      <w:r>
        <w:t>Notwithstanding the provisions of N.J.S.2C:1-8 or any other provision of law, a conviction arising under this section shall not merge with a conviction for leader of narcotics trafficking network, maintaining or operating a controlled dangerous substance production facility, or for unlawfully manufacturing, distributing, dispensing or possessing with intent to manufacture, distribute or dispense the controlled dangerous substance or controlled substance analog which resulted in the death.</w:t>
      </w:r>
      <w:proofErr w:type="gramEnd"/>
      <w:r>
        <w:t xml:space="preserve"> </w:t>
      </w:r>
    </w:p>
    <w:p w:rsidR="003075B0" w:rsidRDefault="003075B0" w:rsidP="003075B0">
      <w:r>
        <w:t>(</w:t>
      </w:r>
      <w:proofErr w:type="spellStart"/>
      <w:r>
        <w:t>cf</w:t>
      </w:r>
      <w:proofErr w:type="spellEnd"/>
      <w:r>
        <w:t>: N.J.S.2C:35-9)</w:t>
      </w:r>
    </w:p>
    <w:p w:rsidR="003075B0" w:rsidRDefault="003075B0" w:rsidP="003075B0">
      <w:r>
        <w:lastRenderedPageBreak/>
        <w:tab/>
        <w:t>2.</w:t>
      </w:r>
      <w:r>
        <w:tab/>
        <w:t>This act shall take effect immediately, and apply to any drug-induced death subject to prosecution under N.J.S.2C:35-</w:t>
      </w:r>
      <w:proofErr w:type="gramStart"/>
      <w:r>
        <w:t>9 which</w:t>
      </w:r>
      <w:proofErr w:type="gramEnd"/>
      <w:r>
        <w:t xml:space="preserve"> occurs on or after the effective date.</w:t>
      </w:r>
    </w:p>
    <w:p w:rsidR="003075B0" w:rsidRDefault="003075B0" w:rsidP="003075B0"/>
    <w:p w:rsidR="003075B0" w:rsidRPr="00CE7BD8" w:rsidRDefault="003075B0" w:rsidP="003075B0"/>
    <w:p w:rsidR="003075B0" w:rsidRPr="00AA7880" w:rsidRDefault="003075B0" w:rsidP="003075B0">
      <w:pPr>
        <w:jc w:val="center"/>
      </w:pPr>
      <w:r w:rsidRPr="00D71D68">
        <w:t>STATEMENT</w:t>
      </w:r>
    </w:p>
    <w:p w:rsidR="003075B0" w:rsidRDefault="003075B0" w:rsidP="003075B0"/>
    <w:p w:rsidR="003075B0" w:rsidRDefault="003075B0" w:rsidP="003075B0">
      <w:r>
        <w:tab/>
        <w:t xml:space="preserve">This bill would modify one of the elements of the crime of strict liability for drug-induced death, which applies to any person who manufactures, distributes, or dispenses any controlled dangerous substance classified in Schedules I or II, or any controlled substance analog thereof, and a death results from the injection, inhalation, or ingestion of that substance.  Currently, one of the </w:t>
      </w:r>
      <w:proofErr w:type="gramStart"/>
      <w:r>
        <w:t>crime’s</w:t>
      </w:r>
      <w:proofErr w:type="gramEnd"/>
      <w:r>
        <w:t xml:space="preserve"> required elements is that the injection, inhalation, or ingestion of the substance “is an antecedent but for which the death would not have occurred.”  The bill would change this element </w:t>
      </w:r>
      <w:proofErr w:type="gramStart"/>
      <w:r>
        <w:t>to only require</w:t>
      </w:r>
      <w:proofErr w:type="gramEnd"/>
      <w:r>
        <w:t xml:space="preserve"> that injection, inhalation, or ingestion of the substance “is a direct contributing factor to the death.”</w:t>
      </w:r>
    </w:p>
    <w:p w:rsidR="003075B0" w:rsidRDefault="003075B0" w:rsidP="003075B0">
      <w:r>
        <w:tab/>
        <w:t>The other elements to the strict liability crime would remain unchanged, including proof that the death was (a) not too remote in its occurrence, nor (b) too dependent upon the conduct of another person unrelated to the dead victim’s injection, inhalation, or ingestion of the substance to have a just bearing on the defendant’s liability.</w:t>
      </w:r>
    </w:p>
    <w:sectPr w:rsidR="003075B0" w:rsidSect="003B6D1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DB4" w:rsidRDefault="00127DB4">
      <w:r>
        <w:separator/>
      </w:r>
    </w:p>
  </w:endnote>
  <w:endnote w:type="continuationSeparator" w:id="0">
    <w:p w:rsidR="00127DB4" w:rsidRDefault="0012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D18" w:rsidRPr="00921C91" w:rsidRDefault="003B6D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6D18" w:rsidRPr="00921C91" w:rsidRDefault="003B6D18">
    <w:pPr>
      <w:pStyle w:val="Footer"/>
      <w:rPr>
        <w:szCs w:val="18"/>
      </w:rPr>
    </w:pPr>
  </w:p>
  <w:p w:rsidR="003B6D18" w:rsidRPr="00921C91" w:rsidRDefault="003B6D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DB4" w:rsidRDefault="00127DB4">
      <w:r>
        <w:separator/>
      </w:r>
    </w:p>
  </w:footnote>
  <w:footnote w:type="continuationSeparator" w:id="0">
    <w:p w:rsidR="00127DB4" w:rsidRDefault="00127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63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6D18" w:rsidRDefault="003B6D18" w:rsidP="003B6D18">
    <w:pPr>
      <w:pStyle w:val="bpuHeadSpon"/>
    </w:pPr>
    <w:r w:rsidRPr="003B6D18">
      <w:rPr>
        <w:rStyle w:val="bpuHeadSponChar"/>
      </w:rPr>
      <w:t>S435</w:t>
    </w:r>
    <w:r>
      <w:t xml:space="preserve"> OROHO, GOPAL</w:t>
    </w:r>
  </w:p>
  <w:p w:rsidR="003B6D18" w:rsidRDefault="003B6D18" w:rsidP="003B6D18">
    <w:pPr>
      <w:pStyle w:val="bpuHeadSpon"/>
    </w:pPr>
    <w:r>
      <w:fldChar w:fldCharType="begin"/>
    </w:r>
    <w:r>
      <w:instrText xml:space="preserve"> PAGE  \* MERGEFORMAT </w:instrText>
    </w:r>
    <w:r>
      <w:fldChar w:fldCharType="separate"/>
    </w:r>
    <w:r w:rsidR="00F96319">
      <w:rPr>
        <w:noProof/>
      </w:rPr>
      <w:t>3</w:t>
    </w:r>
    <w:r>
      <w:fldChar w:fldCharType="end"/>
    </w:r>
  </w:p>
  <w:p w:rsidR="003B6D18" w:rsidRPr="00AF575C" w:rsidRDefault="003B6D18" w:rsidP="003B6D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6D18" w:rsidRDefault="003B6D18" w:rsidP="003B6D18">
    <w:pPr>
      <w:pStyle w:val="bpuHeadSpon"/>
    </w:pPr>
    <w:r w:rsidRPr="003B6D18">
      <w:rPr>
        <w:rStyle w:val="bpuHeadSponChar"/>
      </w:rPr>
      <w:t>S435</w:t>
    </w:r>
    <w:r>
      <w:t xml:space="preserve"> OROHO, GOPAL</w:t>
    </w:r>
  </w:p>
  <w:p w:rsidR="003B6D18" w:rsidRDefault="003B6D18" w:rsidP="003B6D18">
    <w:pPr>
      <w:pStyle w:val="bpuHeadSpon"/>
    </w:pPr>
    <w:r>
      <w:fldChar w:fldCharType="begin"/>
    </w:r>
    <w:r>
      <w:instrText xml:space="preserve"> PAGE  \* MERGEFORMAT </w:instrText>
    </w:r>
    <w:r>
      <w:fldChar w:fldCharType="separate"/>
    </w:r>
    <w:r w:rsidR="00F96319">
      <w:rPr>
        <w:noProof/>
      </w:rPr>
      <w:t>2</w:t>
    </w:r>
    <w:r>
      <w:fldChar w:fldCharType="end"/>
    </w:r>
  </w:p>
  <w:p w:rsidR="003B6D18" w:rsidRDefault="003B6D18" w:rsidP="003B6D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D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DB4"/>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5B0"/>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D1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84C"/>
    <w:rsid w:val="005C0288"/>
    <w:rsid w:val="005C7C01"/>
    <w:rsid w:val="005D28BC"/>
    <w:rsid w:val="005D5980"/>
    <w:rsid w:val="005E5083"/>
    <w:rsid w:val="005F1C6B"/>
    <w:rsid w:val="005F2804"/>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810"/>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DB9"/>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4FC"/>
    <w:rsid w:val="00EE77BF"/>
    <w:rsid w:val="00EF5225"/>
    <w:rsid w:val="00F0415D"/>
    <w:rsid w:val="00F14E45"/>
    <w:rsid w:val="00F17CFC"/>
    <w:rsid w:val="00F42480"/>
    <w:rsid w:val="00F62572"/>
    <w:rsid w:val="00F6488F"/>
    <w:rsid w:val="00F70CF6"/>
    <w:rsid w:val="00F85DDC"/>
    <w:rsid w:val="00F91244"/>
    <w:rsid w:val="00F95319"/>
    <w:rsid w:val="00F96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05F08A-F74F-45B7-96D1-A7056BAFA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6D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0FB18-67F7-4E8C-8250-85CF4204A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625</Words>
  <Characters>3432</Characters>
  <Application>Microsoft Office Word</Application>
  <DocSecurity>0</DocSecurity>
  <Lines>98</Lines>
  <Paragraphs>31</Paragraphs>
  <ScaleCrop>false</ScaleCrop>
  <HeadingPairs>
    <vt:vector size="2" baseType="variant">
      <vt:variant>
        <vt:lpstr>Title</vt:lpstr>
      </vt:variant>
      <vt:variant>
        <vt:i4>1</vt:i4>
      </vt:variant>
    </vt:vector>
  </HeadingPairs>
  <TitlesOfParts>
    <vt:vector size="1" baseType="lpstr">
      <vt:lpstr>oroho/2584_I1</vt:lpstr>
    </vt:vector>
  </TitlesOfParts>
  <Manager>R229</Manager>
  <Company>OFFICE of LEGISLATIVE SERVICES</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S435</dc:title>
  <dc:creator>Senators  OROHO and GOPAL</dc:creator>
  <cp:keywords>S435|3|RF |282|0|0|!|0|</cp:keywords>
  <dc:description>PREFILED 2020</dc:description>
  <cp:lastModifiedBy>Bell, Careema</cp:lastModifiedBy>
  <cp:revision>2</cp:revision>
  <cp:lastPrinted>2005-07-29T18:13:00Z</cp:lastPrinted>
  <dcterms:created xsi:type="dcterms:W3CDTF">2020-01-08T14:17:00Z</dcterms:created>
  <dcterms:modified xsi:type="dcterms:W3CDTF">2020-01-08T14:17:00Z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