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224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224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566</w:t>
      </w:r>
      <w:r w:rsidR="0063703D" w:rsidRPr="00ED5E27">
        <w:rPr>
          <w:b/>
          <w:sz w:val="36"/>
          <w:szCs w:val="36"/>
        </w:rPr>
        <w:t xml:space="preserve"> </w:t>
      </w:r>
    </w:p>
    <w:p w:rsidR="00D33775" w:rsidRDefault="00D33775" w:rsidP="0007575C">
      <w:pPr>
        <w:pStyle w:val="TopofPage1"/>
        <w:rPr>
          <w:sz w:val="24"/>
          <w:szCs w:val="24"/>
        </w:rPr>
      </w:pPr>
    </w:p>
    <w:p w:rsidR="00317832" w:rsidRDefault="00317832" w:rsidP="0007575C">
      <w:pPr>
        <w:pStyle w:val="TopofPage1"/>
        <w:rPr>
          <w:sz w:val="24"/>
          <w:szCs w:val="24"/>
        </w:rPr>
      </w:pPr>
      <w:r>
        <w:rPr>
          <w:sz w:val="24"/>
          <w:szCs w:val="24"/>
        </w:rPr>
        <w:t>with committee amendments</w:t>
      </w:r>
    </w:p>
    <w:p w:rsidR="00317832" w:rsidRPr="004721EF" w:rsidRDefault="0031783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2246">
        <w:rPr>
          <w:caps/>
          <w:szCs w:val="24"/>
        </w:rPr>
        <w:t>FEBRUARY 13, 2020</w:t>
      </w:r>
    </w:p>
    <w:p w:rsidR="004144CF" w:rsidRDefault="004144CF" w:rsidP="0083060A"/>
    <w:p w:rsidR="00D85397" w:rsidRDefault="009139ED" w:rsidP="00CE392D">
      <w:r>
        <w:tab/>
      </w:r>
      <w:r w:rsidR="00D85397" w:rsidRPr="00603616">
        <w:t>The Senate Community and Urban Affairs Committee re</w:t>
      </w:r>
      <w:r w:rsidR="00D85397">
        <w:t>ports favorably Senate Bill No. 566</w:t>
      </w:r>
      <w:r w:rsidR="00D85397" w:rsidRPr="00603616">
        <w:t>, with committee amendments.</w:t>
      </w:r>
    </w:p>
    <w:p w:rsidR="001168B0" w:rsidRDefault="00D85397" w:rsidP="00CE392D">
      <w:r>
        <w:tab/>
      </w:r>
      <w:r w:rsidR="009139ED">
        <w:t>As amended, t</w:t>
      </w:r>
      <w:r w:rsidR="00CE392D">
        <w:t>his bill revise</w:t>
      </w:r>
      <w:r w:rsidR="001168B0">
        <w:t>s the criteria for establishing a claimant’s base year under</w:t>
      </w:r>
      <w:r w:rsidR="00CE392D">
        <w:t xml:space="preserve"> the homestead property tax reimbursement</w:t>
      </w:r>
      <w:r w:rsidR="001168B0">
        <w:t xml:space="preserve"> program, which is commonly known as the “Senior Freeze” program</w:t>
      </w:r>
      <w:r w:rsidR="00CE392D">
        <w:t>.</w:t>
      </w:r>
    </w:p>
    <w:p w:rsidR="001168B0" w:rsidRDefault="001168B0" w:rsidP="00CE392D">
      <w:r>
        <w:tab/>
        <w:t>The Senior Freeze program provides property tax reimbursements to eligible claimants based on the difference between the amount of property taxes paid in the claimant’s current year and base year (i.e., the first year of participation in the program).  Under current</w:t>
      </w:r>
      <w:r w:rsidR="00BE73E7">
        <w:t xml:space="preserve"> law, when an eligible claimant</w:t>
      </w:r>
      <w:r>
        <w:t xml:space="preserve"> moves within the State from one primary residence to another, the claimant’s base year is required to </w:t>
      </w:r>
      <w:r w:rsidR="001A49CA">
        <w:t xml:space="preserve">be </w:t>
      </w:r>
      <w:r>
        <w:t>reset beginning in the second full tax year following the move.</w:t>
      </w:r>
    </w:p>
    <w:p w:rsidR="007E5935" w:rsidRDefault="001168B0" w:rsidP="00CE392D">
      <w:r>
        <w:tab/>
      </w:r>
      <w:r w:rsidR="001A49CA">
        <w:t>The</w:t>
      </w:r>
      <w:r>
        <w:t xml:space="preserve"> bill instead provides that</w:t>
      </w:r>
      <w:r w:rsidR="001A49CA">
        <w:t xml:space="preserve"> when</w:t>
      </w:r>
      <w:r>
        <w:t xml:space="preserve"> </w:t>
      </w:r>
      <w:r w:rsidR="001A49CA">
        <w:t>an</w:t>
      </w:r>
      <w:r>
        <w:t xml:space="preserve"> eligible claimant</w:t>
      </w:r>
      <w:r w:rsidR="001A49CA">
        <w:t xml:space="preserve"> mov</w:t>
      </w:r>
      <w:r w:rsidR="008D5B83">
        <w:t>es into a residence that was constructed before the establishment of the claimant’s base year</w:t>
      </w:r>
      <w:r w:rsidR="001A49CA">
        <w:t>, the</w:t>
      </w:r>
      <w:r w:rsidR="008D5B83">
        <w:t>n the</w:t>
      </w:r>
      <w:r w:rsidR="001A49CA">
        <w:t xml:space="preserve"> claimant would continue to maintain the same base y</w:t>
      </w:r>
      <w:r w:rsidR="008D5B83">
        <w:t>ear, except that</w:t>
      </w:r>
      <w:r w:rsidR="001A49CA">
        <w:t xml:space="preserve"> the reimbursement would be based on the property taxes assessed on the claimant’s new residence during that base year.  </w:t>
      </w:r>
      <w:r w:rsidR="001A49CA">
        <w:tab/>
        <w:t>However, if an eligible claimant moves into a</w:t>
      </w:r>
      <w:r w:rsidR="00CE392D">
        <w:t xml:space="preserve"> </w:t>
      </w:r>
      <w:r w:rsidR="00884827">
        <w:t>residence that</w:t>
      </w:r>
      <w:r w:rsidR="008D5B83">
        <w:t xml:space="preserve"> first became taxable after the claimant’s initial base year</w:t>
      </w:r>
      <w:r w:rsidR="00CE392D">
        <w:t>,</w:t>
      </w:r>
      <w:r w:rsidR="008D5B83">
        <w:t xml:space="preserve"> then</w:t>
      </w:r>
      <w:r w:rsidR="00CE392D">
        <w:t xml:space="preserve"> the</w:t>
      </w:r>
      <w:r w:rsidR="008D5B83">
        <w:t xml:space="preserve"> claimant’s</w:t>
      </w:r>
      <w:r w:rsidR="00CE392D">
        <w:t xml:space="preserve"> base year would be the first full tax year followi</w:t>
      </w:r>
      <w:r w:rsidR="008D5B83">
        <w:t>ng the construction of that residence</w:t>
      </w:r>
      <w:r w:rsidR="00CE392D">
        <w:t>.</w:t>
      </w:r>
      <w:r w:rsidR="008D5B83">
        <w:t xml:space="preserve">  </w:t>
      </w:r>
    </w:p>
    <w:p w:rsidR="009E6F0F" w:rsidRDefault="007E5935" w:rsidP="00A83389">
      <w:r>
        <w:tab/>
      </w:r>
      <w:r w:rsidR="00CE392D">
        <w:t xml:space="preserve">This bill </w:t>
      </w:r>
      <w:r w:rsidR="00374C79">
        <w:t>also provides that an eligible claimant would continue to qualify for a reimbursement</w:t>
      </w:r>
      <w:r w:rsidR="008D5B83">
        <w:t xml:space="preserve"> immediately following the </w:t>
      </w:r>
      <w:r w:rsidR="00E84923" w:rsidRPr="00E84923">
        <w:t>move from one principal residence to another so long as</w:t>
      </w:r>
      <w:r w:rsidR="00E84923">
        <w:t xml:space="preserve"> the</w:t>
      </w:r>
      <w:r w:rsidR="00374C79">
        <w:t xml:space="preserve"> move occurs after the first full tax year following the date of enactment</w:t>
      </w:r>
      <w:r w:rsidR="008D5B83">
        <w:t>.</w:t>
      </w:r>
    </w:p>
    <w:p w:rsidR="009E6F0F" w:rsidRDefault="009E6F0F" w:rsidP="00A83389">
      <w:r>
        <w:tab/>
        <w:t>This bill was pre-filed for introduction in the 2020-2021 session pending technical review.  As reported, the bill includes the changes required by technical review, which has been performed.</w:t>
      </w:r>
    </w:p>
    <w:p w:rsidR="00CF7CAD" w:rsidRDefault="00CE392D" w:rsidP="0083060A">
      <w:r>
        <w:t xml:space="preserve"> </w:t>
      </w:r>
    </w:p>
    <w:p w:rsidR="00374C79" w:rsidRDefault="009E6F0F" w:rsidP="0083060A">
      <w:pPr>
        <w:rPr>
          <w:u w:val="double"/>
        </w:rPr>
      </w:pPr>
      <w:r>
        <w:rPr>
          <w:u w:val="double"/>
        </w:rPr>
        <w:t>COMMITTE</w:t>
      </w:r>
      <w:r w:rsidR="00374C79">
        <w:rPr>
          <w:u w:val="double"/>
        </w:rPr>
        <w:t>E AMENDMENTS:</w:t>
      </w:r>
    </w:p>
    <w:p w:rsidR="00374C79" w:rsidRPr="00374C79" w:rsidRDefault="00374C79" w:rsidP="0083060A">
      <w:pPr>
        <w:rPr>
          <w:u w:val="double"/>
        </w:rPr>
      </w:pPr>
      <w:r>
        <w:tab/>
        <w:t>The committee amendments provide</w:t>
      </w:r>
      <w:r w:rsidR="00E84923">
        <w:t xml:space="preserve"> that</w:t>
      </w:r>
      <w:r>
        <w:t xml:space="preserve"> an eligible claimant would continue to qualify for a </w:t>
      </w:r>
      <w:r w:rsidR="00E84923">
        <w:t xml:space="preserve">homestead property tax </w:t>
      </w:r>
      <w:r>
        <w:t xml:space="preserve">reimbursement immediately following the move from one principal residence to another </w:t>
      </w:r>
      <w:r w:rsidR="00E84923">
        <w:t>so long as</w:t>
      </w:r>
      <w:r>
        <w:t xml:space="preserve"> the move occurs</w:t>
      </w:r>
      <w:r w:rsidRPr="00374C79">
        <w:t xml:space="preserve"> after the first full tax year following the date of enactment</w:t>
      </w:r>
      <w:r>
        <w:t>.  As introduced, the bill would have conferred immediate eligibility to an</w:t>
      </w:r>
      <w:r w:rsidR="00E84923">
        <w:t>y</w:t>
      </w:r>
      <w:r>
        <w:t xml:space="preserve"> eligible claimant who moved </w:t>
      </w:r>
      <w:r w:rsidR="00E84923">
        <w:t xml:space="preserve">residences </w:t>
      </w:r>
      <w:r>
        <w:t>after January 1, 2013.</w:t>
      </w:r>
    </w:p>
    <w:sectPr w:rsidR="00374C79" w:rsidRPr="00374C79" w:rsidSect="001E5585">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246" w:rsidRDefault="00C02246">
      <w:r>
        <w:separator/>
      </w:r>
    </w:p>
  </w:endnote>
  <w:endnote w:type="continuationSeparator" w:id="0">
    <w:p w:rsidR="00C02246" w:rsidRDefault="00C0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246" w:rsidRDefault="00C02246">
      <w:r>
        <w:separator/>
      </w:r>
    </w:p>
  </w:footnote>
  <w:footnote w:type="continuationSeparator" w:id="0">
    <w:p w:rsidR="00C02246" w:rsidRDefault="00C0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5585" w:rsidP="001E5585">
    <w:pPr>
      <w:pStyle w:val="HeaderPage2"/>
      <w:jc w:val="center"/>
    </w:pPr>
    <w:r>
      <w:fldChar w:fldCharType="begin"/>
    </w:r>
    <w:r>
      <w:instrText xml:space="preserve"> PAGE  \* MERGEFORMAT </w:instrText>
    </w:r>
    <w:r>
      <w:fldChar w:fldCharType="separate"/>
    </w:r>
    <w:r>
      <w:rPr>
        <w:noProof/>
      </w:rPr>
      <w:t>2</w:t>
    </w:r>
    <w:r>
      <w:fldChar w:fldCharType="end"/>
    </w:r>
  </w:p>
  <w:p w:rsidR="001E5585" w:rsidRDefault="001E5585" w:rsidP="001E55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246"/>
    <w:rsid w:val="000018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90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8B0"/>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485"/>
    <w:rsid w:val="001968DB"/>
    <w:rsid w:val="001A49CA"/>
    <w:rsid w:val="001A5566"/>
    <w:rsid w:val="001B46AC"/>
    <w:rsid w:val="001C5767"/>
    <w:rsid w:val="001C5A13"/>
    <w:rsid w:val="001D0158"/>
    <w:rsid w:val="001E11F2"/>
    <w:rsid w:val="001E558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1BB"/>
    <w:rsid w:val="00314EBA"/>
    <w:rsid w:val="00315DF7"/>
    <w:rsid w:val="00315E0F"/>
    <w:rsid w:val="00317832"/>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C79"/>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142"/>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81E"/>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5C4"/>
    <w:rsid w:val="00636078"/>
    <w:rsid w:val="0063703D"/>
    <w:rsid w:val="00640067"/>
    <w:rsid w:val="0064237B"/>
    <w:rsid w:val="00647156"/>
    <w:rsid w:val="00647552"/>
    <w:rsid w:val="006512F1"/>
    <w:rsid w:val="0065273B"/>
    <w:rsid w:val="00655CA3"/>
    <w:rsid w:val="0066141A"/>
    <w:rsid w:val="006618EC"/>
    <w:rsid w:val="00662ED4"/>
    <w:rsid w:val="00662FBD"/>
    <w:rsid w:val="00691A3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935"/>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827"/>
    <w:rsid w:val="00886321"/>
    <w:rsid w:val="0089099B"/>
    <w:rsid w:val="00890B29"/>
    <w:rsid w:val="00893A7A"/>
    <w:rsid w:val="008944D3"/>
    <w:rsid w:val="008A0003"/>
    <w:rsid w:val="008A7BAB"/>
    <w:rsid w:val="008B2484"/>
    <w:rsid w:val="008B488F"/>
    <w:rsid w:val="008C0F95"/>
    <w:rsid w:val="008C126C"/>
    <w:rsid w:val="008D1544"/>
    <w:rsid w:val="008D5B83"/>
    <w:rsid w:val="008D5F29"/>
    <w:rsid w:val="008E4311"/>
    <w:rsid w:val="008F18AA"/>
    <w:rsid w:val="008F2D42"/>
    <w:rsid w:val="00906674"/>
    <w:rsid w:val="00912150"/>
    <w:rsid w:val="009139ED"/>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244"/>
    <w:rsid w:val="00992CC6"/>
    <w:rsid w:val="009A48E4"/>
    <w:rsid w:val="009A6AC9"/>
    <w:rsid w:val="009B1B63"/>
    <w:rsid w:val="009B5DEA"/>
    <w:rsid w:val="009B724F"/>
    <w:rsid w:val="009C078B"/>
    <w:rsid w:val="009C300A"/>
    <w:rsid w:val="009C4238"/>
    <w:rsid w:val="009C79F8"/>
    <w:rsid w:val="009E6F0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3E7"/>
    <w:rsid w:val="00C0224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92D"/>
    <w:rsid w:val="00CE5315"/>
    <w:rsid w:val="00CE74A8"/>
    <w:rsid w:val="00CF030F"/>
    <w:rsid w:val="00CF18CB"/>
    <w:rsid w:val="00CF27F3"/>
    <w:rsid w:val="00CF6E1F"/>
    <w:rsid w:val="00CF7CAD"/>
    <w:rsid w:val="00D05E75"/>
    <w:rsid w:val="00D22C02"/>
    <w:rsid w:val="00D25BF5"/>
    <w:rsid w:val="00D30C09"/>
    <w:rsid w:val="00D32F02"/>
    <w:rsid w:val="00D33344"/>
    <w:rsid w:val="00D33775"/>
    <w:rsid w:val="00D44C80"/>
    <w:rsid w:val="00D458D6"/>
    <w:rsid w:val="00D57BC3"/>
    <w:rsid w:val="00D64B78"/>
    <w:rsid w:val="00D670DC"/>
    <w:rsid w:val="00D74306"/>
    <w:rsid w:val="00D7553F"/>
    <w:rsid w:val="00D84CF6"/>
    <w:rsid w:val="00D85397"/>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923"/>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92F"/>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0C34A2B8-BE2C-46E4-9671-9918391B2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59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59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372</Words>
  <Characters>2026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S566 SCU Statement 2/13/20</vt:lpstr>
    </vt:vector>
  </TitlesOfParts>
  <Manager>R225</Manager>
  <Company>NJ OLS DMU</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S566 SCU Statement 2/13/20</dc:title>
  <dc:subject/>
  <dc:creator>Senate SCU</dc:creator>
  <cp:keywords>S566|1|LG |294|0|0|!|0|</cp:keywords>
  <dc:description/>
  <cp:lastModifiedBy>Siracusa, Nicole</cp:lastModifiedBy>
  <cp:revision>2</cp:revision>
  <cp:lastPrinted>2020-02-12T20:45:00Z</cp:lastPrinted>
  <dcterms:created xsi:type="dcterms:W3CDTF">2020-02-14T19:51:00Z</dcterms:created>
  <dcterms:modified xsi:type="dcterms:W3CDTF">2020-02-14T19:51:00Z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