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681" w:rsidRDefault="00840681" w:rsidP="00840681">
      <w:pPr>
        <w:pStyle w:val="bpuBill"/>
      </w:pPr>
      <w:bookmarkStart w:id="0" w:name="bpuFrontPg"/>
      <w:bookmarkStart w:id="1" w:name="_GoBack"/>
      <w:bookmarkEnd w:id="0"/>
      <w:bookmarkEnd w:id="1"/>
      <w:r>
        <w:t xml:space="preserve">SENATE, No. 596 </w:t>
      </w:r>
    </w:p>
    <w:p w:rsidR="00840681" w:rsidRPr="00840681" w:rsidRDefault="00840681" w:rsidP="008406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4459" r:id="rId8"/>
        </w:object>
      </w:r>
    </w:p>
    <w:p w:rsidR="00840681" w:rsidRDefault="00840681" w:rsidP="00840681">
      <w:pPr>
        <w:pStyle w:val="bpuState"/>
      </w:pPr>
      <w:r>
        <w:t>STATE OF NEW JERSEY</w:t>
      </w:r>
    </w:p>
    <w:p w:rsidR="00840681" w:rsidRDefault="00840681" w:rsidP="00840681">
      <w:pPr>
        <w:pStyle w:val="bpuLegislature"/>
      </w:pPr>
      <w:r>
        <w:t>219th LEGISLATURE</w:t>
      </w:r>
    </w:p>
    <w:p w:rsidR="00840681" w:rsidRDefault="00840681" w:rsidP="00840681">
      <w:pPr>
        <w:pStyle w:val="bpuWpGraphic"/>
      </w:pPr>
      <w:r>
        <w:object w:dxaOrig="8985" w:dyaOrig="255">
          <v:shape id="_x0000_i1026" type="#_x0000_t75" style="width:6in;height:11.5pt" o:ole="">
            <v:imagedata r:id="rId7" o:title=""/>
          </v:shape>
          <o:OLEObject Type="Embed" ProgID="WPWin6.1" ShapeID="_x0000_i1026" DrawAspect="Content" ObjectID="_1640094460" r:id="rId9"/>
        </w:object>
      </w:r>
      <w:r>
        <w:t xml:space="preserve">  </w:t>
      </w:r>
    </w:p>
    <w:p w:rsidR="00840681" w:rsidRDefault="00840681" w:rsidP="00840681">
      <w:pPr>
        <w:pStyle w:val="bpuIntro"/>
      </w:pPr>
      <w:r>
        <w:t>PRE-FILED FOR INTRODUCTION IN THE 2020 SESSION</w:t>
      </w:r>
    </w:p>
    <w:p w:rsidR="00840681" w:rsidRDefault="00840681" w:rsidP="00840681">
      <w:pPr>
        <w:pStyle w:val="bpuIntro"/>
      </w:pPr>
    </w:p>
    <w:p w:rsidR="00840681" w:rsidRDefault="00840681" w:rsidP="00840681">
      <w:pPr>
        <w:pStyle w:val="bpuIntro"/>
        <w:sectPr w:rsidR="00840681" w:rsidSect="00840681">
          <w:headerReference w:type="even" r:id="rId10"/>
          <w:headerReference w:type="default" r:id="rId11"/>
          <w:pgSz w:w="12240" w:h="20160" w:code="5"/>
          <w:pgMar w:top="2160" w:right="1440" w:bottom="1440" w:left="1440" w:header="720" w:footer="720" w:gutter="0"/>
          <w:pgNumType w:start="1"/>
          <w:cols w:space="720"/>
          <w:docGrid w:linePitch="360"/>
        </w:sectPr>
      </w:pPr>
    </w:p>
    <w:p w:rsidR="00840681" w:rsidRDefault="00840681" w:rsidP="00840681">
      <w:pPr>
        <w:pStyle w:val="bpuIntro"/>
      </w:pPr>
    </w:p>
    <w:p w:rsidR="00840681" w:rsidRDefault="00840681" w:rsidP="00840681">
      <w:pPr>
        <w:pStyle w:val="bpuSponsor"/>
      </w:pPr>
      <w:r>
        <w:t>Sponsored by:</w:t>
      </w:r>
    </w:p>
    <w:p w:rsidR="00840681" w:rsidRDefault="00840681" w:rsidP="00840681">
      <w:pPr>
        <w:pStyle w:val="bpuSponsor"/>
      </w:pPr>
      <w:r>
        <w:t>Senator  JAMES BEACH</w:t>
      </w:r>
    </w:p>
    <w:p w:rsidR="00840681" w:rsidRDefault="00840681" w:rsidP="00840681">
      <w:pPr>
        <w:pStyle w:val="bpuSponsor"/>
      </w:pPr>
      <w:r>
        <w:t>District 6 (Burlington and Camden)</w:t>
      </w:r>
    </w:p>
    <w:p w:rsidR="00840681" w:rsidRDefault="00840681" w:rsidP="00840681">
      <w:pPr>
        <w:pStyle w:val="bpuSponsor"/>
      </w:pPr>
      <w:r>
        <w:t>Senator  LINDA R. GREENSTEIN</w:t>
      </w:r>
    </w:p>
    <w:p w:rsidR="00840681" w:rsidRDefault="00840681" w:rsidP="00840681">
      <w:pPr>
        <w:pStyle w:val="bpuSponsor"/>
      </w:pPr>
      <w:r>
        <w:t>District 14 (Mercer and Middlesex)</w:t>
      </w:r>
    </w:p>
    <w:p w:rsidR="00840681" w:rsidRDefault="00840681" w:rsidP="00840681">
      <w:pPr>
        <w:pStyle w:val="bpuSponsor"/>
      </w:pPr>
    </w:p>
    <w:p w:rsidR="00840681" w:rsidRDefault="00840681" w:rsidP="00840681">
      <w:pPr>
        <w:pStyle w:val="bpuSponsor"/>
      </w:pPr>
    </w:p>
    <w:p w:rsidR="00840681" w:rsidRDefault="00840681" w:rsidP="00840681">
      <w:pPr>
        <w:pStyle w:val="bpuSponsor"/>
      </w:pPr>
    </w:p>
    <w:p w:rsidR="00840681" w:rsidRDefault="00840681" w:rsidP="00840681">
      <w:pPr>
        <w:pStyle w:val="bpuSponsor"/>
      </w:pPr>
    </w:p>
    <w:p w:rsidR="00840681" w:rsidRDefault="00840681" w:rsidP="00840681">
      <w:pPr>
        <w:pStyle w:val="bpuSponsor"/>
      </w:pPr>
      <w:r>
        <w:t>SYNOPSIS</w:t>
      </w:r>
    </w:p>
    <w:p w:rsidR="00840681" w:rsidRDefault="00840681" w:rsidP="00840681">
      <w:pPr>
        <w:pStyle w:val="bpuNormText"/>
      </w:pPr>
      <w:r>
        <w:tab/>
        <w:t xml:space="preserve">Expands eligibility for tax credits for development of qualified wind energy facilities. </w:t>
      </w:r>
    </w:p>
    <w:p w:rsidR="00840681" w:rsidRDefault="00840681" w:rsidP="00840681">
      <w:pPr>
        <w:pStyle w:val="bpuNormText"/>
      </w:pPr>
    </w:p>
    <w:p w:rsidR="00840681" w:rsidRDefault="00840681" w:rsidP="00840681">
      <w:pPr>
        <w:pStyle w:val="bpuSponsor"/>
      </w:pPr>
      <w:r>
        <w:t xml:space="preserve">CURRENT VERSION OF TEXT </w:t>
      </w:r>
    </w:p>
    <w:p w:rsidR="00840681" w:rsidRDefault="00840681" w:rsidP="00840681">
      <w:pPr>
        <w:pStyle w:val="bpuNormText"/>
      </w:pPr>
      <w:r>
        <w:tab/>
        <w:t>Introduced Pending Technical Review by Legislative Counsel.</w:t>
      </w:r>
    </w:p>
    <w:p w:rsidR="00840681" w:rsidRDefault="00840681" w:rsidP="008406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0681" w:rsidRDefault="008406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0681" w:rsidSect="00840681">
          <w:type w:val="continuous"/>
          <w:pgSz w:w="12240" w:h="20160" w:code="5"/>
          <w:pgMar w:top="2160" w:right="2275" w:bottom="1440" w:left="2275" w:header="72" w:footer="720" w:gutter="0"/>
          <w:pgNumType w:start="1"/>
          <w:cols w:space="720"/>
          <w:docGrid w:linePitch="360"/>
        </w:sectPr>
      </w:pPr>
    </w:p>
    <w:p w:rsidR="00B37975" w:rsidRPr="00677316" w:rsidRDefault="00B37975" w:rsidP="00B37975">
      <w:pPr>
        <w:pStyle w:val="HangingAnAct"/>
        <w:rPr>
          <w:rStyle w:val="HangingAnActChar"/>
        </w:rPr>
      </w:pPr>
      <w:r w:rsidRPr="00B37975">
        <w:rPr>
          <w:rStyle w:val="BillHead"/>
        </w:rPr>
        <w:lastRenderedPageBreak/>
        <w:t>An Act</w:t>
      </w:r>
      <w:r w:rsidRPr="006B7FA7">
        <w:rPr>
          <w:rStyle w:val="HangingAnActChar"/>
        </w:rPr>
        <w:t xml:space="preserve"> </w:t>
      </w:r>
      <w:r w:rsidRPr="009B4963">
        <w:rPr>
          <w:rStyle w:val="HangingAnActChar"/>
        </w:rPr>
        <w:t>concerning wind energy zones, and amending P.L.2010, c.57.</w:t>
      </w:r>
    </w:p>
    <w:p w:rsidR="00B37975" w:rsidRPr="00D71D68" w:rsidRDefault="00B37975" w:rsidP="00B37975"/>
    <w:p w:rsidR="00B37975" w:rsidRPr="00AA7880" w:rsidRDefault="00B37975" w:rsidP="00B37975">
      <w:r>
        <w:tab/>
      </w:r>
      <w:r>
        <w:rPr>
          <w:rStyle w:val="BillHeading2"/>
        </w:rPr>
        <w:t xml:space="preserve">Be It Enacted </w:t>
      </w:r>
      <w:r>
        <w:rPr>
          <w:rStyle w:val="BillLanguage"/>
        </w:rPr>
        <w:t>by the Senate and General Assembly of the State of New Jersey:</w:t>
      </w:r>
    </w:p>
    <w:p w:rsidR="00B37975" w:rsidRPr="00D71D68" w:rsidRDefault="00B37975" w:rsidP="00B37975"/>
    <w:p w:rsidR="00B37975" w:rsidRDefault="00B37975" w:rsidP="00B37975">
      <w:r>
        <w:tab/>
        <w:t>1.</w:t>
      </w:r>
      <w:r>
        <w:tab/>
        <w:t>Section 6 of P.</w:t>
      </w:r>
      <w:r w:rsidRPr="0028030E">
        <w:t>L.2010, c.57</w:t>
      </w:r>
      <w:r>
        <w:t xml:space="preserve"> (C.</w:t>
      </w:r>
      <w:r w:rsidRPr="0028030E">
        <w:t>34:1B-209.4</w:t>
      </w:r>
      <w:r>
        <w:t xml:space="preserve">) is amended to read as follows:  </w:t>
      </w:r>
    </w:p>
    <w:p w:rsidR="00B37975" w:rsidRDefault="00B37975" w:rsidP="00B37975">
      <w:r>
        <w:tab/>
        <w:t>6.</w:t>
      </w:r>
      <w:r>
        <w:tab/>
        <w:t>a.  (1)  A business, upon application to and approval from the authority, shall be allowed a credit of 100 percent of its capital investment, made after the effective date of P.L.2010, c.57 (C.48:3-87.1 et al.) but prior to its submission of documentation pursuant to subsection c. of this section, in a qualified wind energy facility located within an eligible wind energy zone,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wind energy facility will yield a net positive benefit to the State.  The value of all credits approved by the authority pursuant to this section may be up to $100,000,000, except as may be increased by the authority if the chief executive officer of the authority judges certain qualified offshore wind projects to be meritorious.  Credits provided pursuant to this section shall not be applicable to the cap on the credits provided in section 3 of P.L.2007, c.346 (C.34:1B-209).</w:t>
      </w:r>
    </w:p>
    <w:p w:rsidR="00B37975" w:rsidRDefault="000B6FEA" w:rsidP="00B37975">
      <w:r>
        <w:tab/>
        <w:t>(2)</w:t>
      </w:r>
      <w:r>
        <w:tab/>
        <w:t xml:space="preserve">(a) </w:t>
      </w:r>
      <w:r w:rsidR="00B37975">
        <w:t>A business, other than a tenant eligible pursuant to subparagraph (b) of this paragraph, shall make or acquire capital investments totaling not less than $50,000,000 in a qualified wind energy facility, at which the business, including tenants at the qualified wind energy facility, shall employ at least 300 new, full-time employees, to be eligible for a credit under this section.  A business that acquires a qualified wind energy facility after the effective date of P.L.2010, c.57 (C.48:3-87.1 et al.) shall also be deemed to have acquired the capital investment made or acquired by the seller.</w:t>
      </w:r>
    </w:p>
    <w:p w:rsidR="00B37975" w:rsidRDefault="00B37975" w:rsidP="00B37975">
      <w:r>
        <w:tab/>
        <w:t>(b)</w:t>
      </w:r>
      <w:r>
        <w:tab/>
        <w:t xml:space="preserve">A business that is a tenant in the qualified wind energy facility, the owner of which has made or acquired capital investments in the facility totaling more than $50,000,000, shall occupy a leased area of the qualified wind energy facility that represents at least $17,500,000 of the capital investment in the qualified wind energy facility at which at least 300 new, full-time employees in the aggregate are employed, to be eligible for a credit under this section.  The amount of capital investment in a facility that a leased area represents shall be equal to that percentage of the </w:t>
      </w:r>
      <w:r>
        <w:lastRenderedPageBreak/>
        <w:t>owner's total capital investment in the facility that the percentage of net leasable area leased by the 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wind energy facility.</w:t>
      </w:r>
    </w:p>
    <w:p w:rsidR="00B37975" w:rsidRDefault="00B37975" w:rsidP="00B37975">
      <w:r>
        <w:tab/>
        <w:t>(c)</w:t>
      </w:r>
      <w:r>
        <w:tab/>
        <w:t xml:space="preserve">The calculation of the number of new, full-time employees required pursuant to subparagraphs (a) and (b) of this paragraph may include the number of new, full-time positions resulting from an equipment supply coordination agreement with equipment manufacturers, suppliers, installers and operators associated with the supply chain required to support the qualified wind energy facility. </w:t>
      </w:r>
    </w:p>
    <w:p w:rsidR="00B37975" w:rsidRDefault="00B37975" w:rsidP="00B37975">
      <w:r>
        <w:tab/>
        <w:t>For the purposes of this paragraph, "full time employee" shall not include an employee who is a resident of another state and whose income is not subject to the "New Jersey Gross Income Tax Act," N.J.S.54A:1-1 et seq., unless that state has entered into a reciprocity agreement with the State of New Jersey, provided that any employee whose work is provided pursuant to a collective bargaining agreement with a business in the wind energy zone may be included.</w:t>
      </w:r>
    </w:p>
    <w:p w:rsidR="00B37975" w:rsidRDefault="00B37975" w:rsidP="00B37975">
      <w:r>
        <w:tab/>
        <w:t>(3)</w:t>
      </w:r>
      <w:r>
        <w:tab/>
        <w:t>A business shall not be allowed a tax credit pursuant to this section if the business receives a business employment incentive grant pursuant to the "Business Employment Incentive Program Act," P.L.1996, c.26 (C.34:1B-124 et al.), relating to the same capital and employees that qualify the business for this credit, or if the business receives assistance pursuant to the "Business Retention and Relocation Assistance Act," P.L.1996,</w:t>
      </w:r>
      <w:r w:rsidR="000B6FEA">
        <w:t> </w:t>
      </w:r>
      <w:r>
        <w:t>c.25</w:t>
      </w:r>
      <w:r w:rsidR="000B6FEA">
        <w:t> </w:t>
      </w:r>
      <w:r>
        <w:t>(C.34:1B-112</w:t>
      </w:r>
      <w:r w:rsidR="000B6FEA">
        <w:t> </w:t>
      </w:r>
      <w:r>
        <w:t>et</w:t>
      </w:r>
      <w:r w:rsidR="000B6FEA">
        <w:t> </w:t>
      </w:r>
      <w:r>
        <w:t>seq.).</w:t>
      </w:r>
      <w:r w:rsidR="000B6FEA">
        <w:t>  </w:t>
      </w:r>
      <w:r>
        <w:t>A business that is allowed a tax credit under this section shall not be eligible for incentives authorized pursuant to the "Municipal Rehabilitation and Economic Recovery Act," P.L.2002, c.43 (C.52:27BBB-1 et al.).</w:t>
      </w:r>
    </w:p>
    <w:p w:rsidR="00B37975" w:rsidRDefault="00B37975" w:rsidP="00B37975">
      <w:r>
        <w:tab/>
        <w:t>(4)</w:t>
      </w:r>
      <w:r>
        <w:tab/>
        <w:t>Full-time employment for an accounting or privilege period shall be determined as the average of the monthly full-time employment for the period.</w:t>
      </w:r>
    </w:p>
    <w:p w:rsidR="00B37975" w:rsidRDefault="00B37975" w:rsidP="00B37975">
      <w:r>
        <w:tab/>
        <w:t>b.</w:t>
      </w:r>
      <w:r>
        <w:tab/>
        <w:t>A business shall apply for the credit by July 1, 2024, and a business shall submit its documentation for approval of its credit amount by July 1, 2027.</w:t>
      </w:r>
    </w:p>
    <w:p w:rsidR="00B37975" w:rsidRDefault="00B37975" w:rsidP="00B37975">
      <w:r>
        <w:tab/>
        <w:t>c.</w:t>
      </w:r>
      <w:r>
        <w:tab/>
        <w:t xml:space="preserve">The credit allowed pursuant to this section shall be administered in accordance with the provisions of subsection c. of section 3 of P.L.2007, c.346 (C.34:1B-209) and section 33 of P.L.2009, c.90 (C.34:1B-209.1), except that all references therein to "qualified business facility" shall be deemed to refer to "qualified </w:t>
      </w:r>
      <w:r>
        <w:lastRenderedPageBreak/>
        <w:t>wind energy facility," as that term is defined in subsection f. of this section.</w:t>
      </w:r>
    </w:p>
    <w:p w:rsidR="00B37975" w:rsidRDefault="00B37975" w:rsidP="00B37975">
      <w:r>
        <w:tab/>
        <w:t>d.</w:t>
      </w:r>
      <w:r>
        <w:tab/>
        <w:t>The amount of the credit allowed pursuant to this section shall, except as otherwise provided, be equal to the capital investment made by the business, or the capital investment represented by the business's leased area, and shall be taken over a 10-year period, at the rate of one-tenth of the total amount of the business's credit for each tax accounting or privilege period of the business, beginning with the tax period in which the business is first approved by the authority as having met the investment capital and employment qualifications, subject to any disqualification as determined by annual review by the authority.  In conducting its annual review, the authority may require a business to submit any information determined by the authority to be necessary and relevant to its review.  The credit amount for any tax period ending after the date 18 years after the effective date of P.L.2007, c.346 (C.34:1B-207 et seq.) during which the documentation of a business's credit amount remains unapproved shall be forfeited, although credit amounts for the remainder of the years of the 10-year credit period shall remain available.  The amount of the credit allowed for a tax period to a business that is a tenant in a qualified wind energy facility shall not exceed the business's total lease payments for occupancy of the qualified wind energy facility for the tax period.</w:t>
      </w:r>
    </w:p>
    <w:p w:rsidR="00B37975" w:rsidRDefault="00B37975" w:rsidP="00B37975">
      <w:r>
        <w:tab/>
        <w:t>e.</w:t>
      </w:r>
      <w:r>
        <w:tab/>
        <w:t>The authority shall adopt rules and regulations pursuant to the "Administrative Procedure Act," P.L.1968, c.410 (C.52:14B-1 et seq.) as are necessary to implement this section, including, but not limited to: examples of and the determination of capital investment; the nature of businesses and employment positions constituting and participating in an equipment supply coordination agreement; a determination of the types of businesses that may be eligible and expenses that may constitute capital improvements; the promulgation of procedures and forms necessary to apply for a credit; and provisions for applicants to be charged an initial application fee, and ongoing service fees, to cover the administrative costs related to the credit.</w:t>
      </w:r>
    </w:p>
    <w:p w:rsidR="00B37975" w:rsidRDefault="00B37975" w:rsidP="00B37975">
      <w:r>
        <w:tab/>
        <w:t>The rules and regulations established by the authority pursuant to this subsection shall be effective immediately upon filing with the Office of Administrative Law and shall be effective for a period not to exceed 12 months and may, thereafter, be amended, adopted or readopted in accordance with the provisions of the "Administrative Procedure Act," P.L.1968, c.410 (C.52:14B-1 et seq.).</w:t>
      </w:r>
    </w:p>
    <w:p w:rsidR="00B37975" w:rsidRDefault="00B37975" w:rsidP="00B37975">
      <w:r>
        <w:tab/>
        <w:t>f.</w:t>
      </w:r>
      <w:r>
        <w:tab/>
        <w:t xml:space="preserve">As used in this section:  the terms "authority," "business," and "capital investment" shall have the same meanings as defined in section 2 of the "Urban Transit Hub Tax Credit Act," P.L.2007, c.346 (C.34:1B-208), except that all references therein to "qualified business facility" shall be deemed to refer to "qualified wind energy facility" as defined in this subsection. </w:t>
      </w:r>
    </w:p>
    <w:p w:rsidR="00B37975" w:rsidRDefault="00B37975" w:rsidP="00B37975">
      <w:r>
        <w:lastRenderedPageBreak/>
        <w:tab/>
        <w:t>In addition, as used in this section:</w:t>
      </w:r>
    </w:p>
    <w:p w:rsidR="00B37975" w:rsidRDefault="00B37975" w:rsidP="00B37975">
      <w:r>
        <w:tab/>
        <w:t>"Equipment supply coordination agreement" means an agreement between a business and equipment manufacturer, supplier, installer, and operator that supports a qualified offshore wind project, or other wind energy project as determined by the authority, and that indicates the number of new, full-time jobs to be created by the agreement participants towards the employment requirement as set forth in paragraph (2) of subsection a. of this section.</w:t>
      </w:r>
    </w:p>
    <w:p w:rsidR="00B37975" w:rsidRDefault="00B37975" w:rsidP="00B37975">
      <w:r>
        <w:tab/>
        <w:t>"Qualified offshore wind project" shall have the same meaning as provided in section 3 of P.L.1999, c.23 (C.48:3-51).</w:t>
      </w:r>
    </w:p>
    <w:p w:rsidR="00B37975" w:rsidRDefault="00B37975" w:rsidP="00B37975">
      <w:r>
        <w:tab/>
        <w:t>"Qualified wind energy facility" means any building, complex of buildings, or structural components of buildings, including water access infrastructure, and all machinery and equipment used in the manufacturing, assembly, development or administration of component parts that support the development and operation of a qualified offshore wind project, or other wind energy project as determined by the authority, and that are located in a wind energy zone.</w:t>
      </w:r>
    </w:p>
    <w:p w:rsidR="00B37975" w:rsidRDefault="00B37975" w:rsidP="00B37975">
      <w:r>
        <w:tab/>
        <w:t xml:space="preserve">"Wind energy zone" means property located in </w:t>
      </w:r>
      <w:r>
        <w:rPr>
          <w:u w:val="single"/>
        </w:rPr>
        <w:t>(1)</w:t>
      </w:r>
      <w:r>
        <w:t xml:space="preserve"> the South Jersey Port District established pursuant to "The South Jersey Port Corporation Act," P.L.1968, c.60 (C.12:11A-1 et seq.) </w:t>
      </w:r>
      <w:r>
        <w:rPr>
          <w:u w:val="single"/>
        </w:rPr>
        <w:t>, or (2) Atlantic County</w:t>
      </w:r>
      <w:r>
        <w:t xml:space="preserve"> .</w:t>
      </w:r>
    </w:p>
    <w:p w:rsidR="00B37975" w:rsidRDefault="000B6FEA" w:rsidP="00B37975">
      <w:r>
        <w:t>(</w:t>
      </w:r>
      <w:proofErr w:type="spellStart"/>
      <w:r>
        <w:t>cf</w:t>
      </w:r>
      <w:proofErr w:type="spellEnd"/>
      <w:r>
        <w:t xml:space="preserve">: </w:t>
      </w:r>
      <w:r w:rsidR="00B37975">
        <w:t>P.L.2018, c.17, s.7)</w:t>
      </w:r>
    </w:p>
    <w:p w:rsidR="00B37975" w:rsidRDefault="00B37975" w:rsidP="00B37975"/>
    <w:p w:rsidR="00B37975" w:rsidRDefault="00B37975" w:rsidP="00B37975">
      <w:r>
        <w:tab/>
        <w:t>2.</w:t>
      </w:r>
      <w:r>
        <w:tab/>
        <w:t>This act shall take effect immediately.</w:t>
      </w:r>
    </w:p>
    <w:p w:rsidR="00B37975" w:rsidRPr="00AA7880" w:rsidRDefault="00B37975" w:rsidP="00B37975"/>
    <w:p w:rsidR="00B37975" w:rsidRPr="00CE7BD8" w:rsidRDefault="00B37975" w:rsidP="00B37975"/>
    <w:p w:rsidR="00B37975" w:rsidRPr="00AA7880" w:rsidRDefault="00B37975" w:rsidP="00B37975">
      <w:pPr>
        <w:jc w:val="center"/>
      </w:pPr>
      <w:r w:rsidRPr="00D71D68">
        <w:t>STATEMENT</w:t>
      </w:r>
    </w:p>
    <w:p w:rsidR="00B37975" w:rsidRDefault="00B37975" w:rsidP="00B37975"/>
    <w:p w:rsidR="00B37975" w:rsidRDefault="00B37975" w:rsidP="00B37975">
      <w:r>
        <w:tab/>
        <w:t xml:space="preserve">This bill would amend the law (P.L.2010, c.57) concerning the development of offshore wind projects to amend the definition of “wind energy zone” to include Atlantic County.  </w:t>
      </w:r>
    </w:p>
    <w:p w:rsidR="00B37975" w:rsidRDefault="00B37975" w:rsidP="00B37975">
      <w:r>
        <w:tab/>
        <w:t xml:space="preserve">Current law defines the term </w:t>
      </w:r>
      <w:r w:rsidRPr="009B4963">
        <w:t xml:space="preserve">“wind energy zone” </w:t>
      </w:r>
      <w:r>
        <w:t xml:space="preserve">as </w:t>
      </w:r>
      <w:r w:rsidRPr="0028030E">
        <w:t>property located in the South Jersey Port Di</w:t>
      </w:r>
      <w:r>
        <w:t>strict established pursuant to “</w:t>
      </w:r>
      <w:r w:rsidRPr="0028030E">
        <w:t>The Sou</w:t>
      </w:r>
      <w:r>
        <w:t xml:space="preserve">th Jersey Port Corporation Act.”  This bill would expand this definition to allow qualified wind energy facilities located in Atlantic County to be eligible for a tax credit from the </w:t>
      </w:r>
      <w:r w:rsidRPr="00E77B45">
        <w:t>New Jersey Economic Development Authority</w:t>
      </w:r>
      <w:r>
        <w:t xml:space="preserve">.  </w:t>
      </w:r>
    </w:p>
    <w:sectPr w:rsidR="00B37975" w:rsidSect="0084068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497" w:rsidRDefault="00BD4497">
      <w:r>
        <w:separator/>
      </w:r>
    </w:p>
  </w:endnote>
  <w:endnote w:type="continuationSeparator" w:id="0">
    <w:p w:rsidR="00BD4497" w:rsidRDefault="00BD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681" w:rsidRDefault="00840681">
    <w:pPr>
      <w:pStyle w:val="Footer"/>
      <w:rPr>
        <w:szCs w:val="18"/>
      </w:rPr>
    </w:pPr>
  </w:p>
  <w:p w:rsidR="00840681" w:rsidRPr="00921C91" w:rsidRDefault="008406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0681" w:rsidRPr="00921C91" w:rsidRDefault="00840681">
    <w:pPr>
      <w:pStyle w:val="Footer"/>
      <w:rPr>
        <w:szCs w:val="18"/>
      </w:rPr>
    </w:pPr>
  </w:p>
  <w:p w:rsidR="00840681" w:rsidRPr="00921C91" w:rsidRDefault="008406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0681" w:rsidRDefault="008406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497" w:rsidRDefault="00BD4497">
      <w:r>
        <w:separator/>
      </w:r>
    </w:p>
  </w:footnote>
  <w:footnote w:type="continuationSeparator" w:id="0">
    <w:p w:rsidR="00BD4497" w:rsidRDefault="00BD4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2A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0681" w:rsidRDefault="00840681" w:rsidP="00840681">
    <w:pPr>
      <w:pStyle w:val="bpuHeadSpon"/>
    </w:pPr>
    <w:r w:rsidRPr="00840681">
      <w:rPr>
        <w:rStyle w:val="bpuHeadSponChar"/>
      </w:rPr>
      <w:t>S596</w:t>
    </w:r>
    <w:r>
      <w:t xml:space="preserve"> BEACH, GREENSTEIN</w:t>
    </w:r>
  </w:p>
  <w:p w:rsidR="00840681" w:rsidRDefault="00840681" w:rsidP="00840681">
    <w:pPr>
      <w:pStyle w:val="bpuHeadSpon"/>
    </w:pPr>
    <w:r>
      <w:fldChar w:fldCharType="begin"/>
    </w:r>
    <w:r>
      <w:instrText xml:space="preserve"> PAGE  \* MERGEFORMAT </w:instrText>
    </w:r>
    <w:r>
      <w:fldChar w:fldCharType="separate"/>
    </w:r>
    <w:r w:rsidR="00112AB1">
      <w:rPr>
        <w:noProof/>
      </w:rPr>
      <w:t>5</w:t>
    </w:r>
    <w:r>
      <w:fldChar w:fldCharType="end"/>
    </w:r>
  </w:p>
  <w:p w:rsidR="00840681" w:rsidRPr="00AF575C" w:rsidRDefault="00840681" w:rsidP="008406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0681" w:rsidRDefault="00840681" w:rsidP="00840681">
    <w:pPr>
      <w:pStyle w:val="bpuHeadSpon"/>
    </w:pPr>
    <w:r w:rsidRPr="00840681">
      <w:rPr>
        <w:rStyle w:val="bpuHeadSponChar"/>
      </w:rPr>
      <w:t>S596</w:t>
    </w:r>
    <w:r>
      <w:t xml:space="preserve"> BEACH, GREENSTEIN</w:t>
    </w:r>
  </w:p>
  <w:p w:rsidR="00840681" w:rsidRDefault="00840681" w:rsidP="00840681">
    <w:pPr>
      <w:pStyle w:val="bpuHeadSpon"/>
    </w:pPr>
    <w:r>
      <w:fldChar w:fldCharType="begin"/>
    </w:r>
    <w:r>
      <w:instrText xml:space="preserve"> PAGE  \* MERGEFORMAT </w:instrText>
    </w:r>
    <w:r>
      <w:fldChar w:fldCharType="separate"/>
    </w:r>
    <w:r w:rsidR="00112AB1">
      <w:rPr>
        <w:noProof/>
      </w:rPr>
      <w:t>2</w:t>
    </w:r>
    <w:r>
      <w:fldChar w:fldCharType="end"/>
    </w:r>
  </w:p>
  <w:p w:rsidR="00840681" w:rsidRDefault="00840681" w:rsidP="008406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4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FEA"/>
    <w:rsid w:val="000C657D"/>
    <w:rsid w:val="000D114D"/>
    <w:rsid w:val="000D6A40"/>
    <w:rsid w:val="000D6DFF"/>
    <w:rsid w:val="000E4219"/>
    <w:rsid w:val="000E4294"/>
    <w:rsid w:val="000E5EF5"/>
    <w:rsid w:val="000E7E61"/>
    <w:rsid w:val="000F6E7F"/>
    <w:rsid w:val="000F7BFB"/>
    <w:rsid w:val="000F7FF6"/>
    <w:rsid w:val="00112AB1"/>
    <w:rsid w:val="0011462B"/>
    <w:rsid w:val="00122532"/>
    <w:rsid w:val="001316C3"/>
    <w:rsid w:val="00132C05"/>
    <w:rsid w:val="001330F6"/>
    <w:rsid w:val="00133BED"/>
    <w:rsid w:val="00136CE2"/>
    <w:rsid w:val="00140A92"/>
    <w:rsid w:val="00140FD3"/>
    <w:rsid w:val="00143A99"/>
    <w:rsid w:val="00150A42"/>
    <w:rsid w:val="00153466"/>
    <w:rsid w:val="001540B7"/>
    <w:rsid w:val="00156AE5"/>
    <w:rsid w:val="001762FB"/>
    <w:rsid w:val="00177E9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A53"/>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68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975"/>
    <w:rsid w:val="00B7201D"/>
    <w:rsid w:val="00B809B3"/>
    <w:rsid w:val="00B80AFD"/>
    <w:rsid w:val="00B854DC"/>
    <w:rsid w:val="00B90F81"/>
    <w:rsid w:val="00B91BF9"/>
    <w:rsid w:val="00BB2482"/>
    <w:rsid w:val="00BC4545"/>
    <w:rsid w:val="00BD449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BCF22A-A5EA-4970-B230-1B08BAF4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40681"/>
  </w:style>
  <w:style w:type="paragraph" w:styleId="BalloonText">
    <w:name w:val="Balloon Text"/>
    <w:basedOn w:val="Normal"/>
    <w:link w:val="BalloonTextChar"/>
    <w:semiHidden/>
    <w:unhideWhenUsed/>
    <w:rsid w:val="000B6F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6FE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E81C3-62FA-46F5-B84F-6AB5A5CCD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1678</Words>
  <Characters>8996</Characters>
  <Application>Microsoft Office Word</Application>
  <DocSecurity>0</DocSecurity>
  <Lines>205</Lines>
  <Paragraphs>39</Paragraphs>
  <ScaleCrop>false</ScaleCrop>
  <HeadingPairs>
    <vt:vector size="2" baseType="variant">
      <vt:variant>
        <vt:lpstr>Title</vt:lpstr>
      </vt:variant>
      <vt:variant>
        <vt:i4>1</vt:i4>
      </vt:variant>
    </vt:vector>
  </HeadingPairs>
  <TitlesOfParts>
    <vt:vector size="1" baseType="lpstr">
      <vt:lpstr>S596</vt:lpstr>
    </vt:vector>
  </TitlesOfParts>
  <Manager>R224</Manager>
  <Company>OFFICE of LEGISLATIVE SERVICES</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S596</dc:title>
  <dc:creator>Senator  BEACH, Senator  GREENSTEIN</dc:creator>
  <cp:keywords>S596|5|JU |196|0|0|!|0|</cp:keywords>
  <dc:description>PREFILED 2020</dc:description>
  <cp:lastModifiedBy>Franks, Denise</cp:lastModifiedBy>
  <cp:revision>2</cp:revision>
  <cp:lastPrinted>2020-01-09T20:26:00Z</cp:lastPrinted>
  <dcterms:created xsi:type="dcterms:W3CDTF">2020-01-09T21:59:00Z</dcterms:created>
  <dcterms:modified xsi:type="dcterms:W3CDTF">2020-01-09T21:59:00Z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