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C1E" w:rsidRDefault="00003C1E" w:rsidP="00003C1E">
      <w:pPr>
        <w:pStyle w:val="bpuReprint"/>
      </w:pPr>
      <w:bookmarkStart w:id="0" w:name="bpuFrontPg"/>
      <w:bookmarkStart w:id="1" w:name="_GoBack"/>
      <w:bookmarkEnd w:id="0"/>
      <w:bookmarkEnd w:id="1"/>
      <w:r>
        <w:t>[First Reprint]</w:t>
      </w:r>
    </w:p>
    <w:p w:rsidR="00403FB5" w:rsidRDefault="00403FB5" w:rsidP="00403FB5">
      <w:pPr>
        <w:pStyle w:val="bpuBill"/>
      </w:pPr>
      <w:r>
        <w:t xml:space="preserve">SENATE, No. 619 </w:t>
      </w:r>
    </w:p>
    <w:p w:rsidR="00403FB5" w:rsidRPr="00403FB5" w:rsidRDefault="00403FB5" w:rsidP="00403F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24365" r:id="rId8"/>
        </w:object>
      </w:r>
    </w:p>
    <w:p w:rsidR="00403FB5" w:rsidRDefault="00403FB5" w:rsidP="00403FB5">
      <w:pPr>
        <w:pStyle w:val="bpuState"/>
      </w:pPr>
      <w:r>
        <w:t>STATE OF NEW JERSEY</w:t>
      </w:r>
    </w:p>
    <w:p w:rsidR="00403FB5" w:rsidRDefault="00403FB5" w:rsidP="00403FB5">
      <w:pPr>
        <w:pStyle w:val="bpuLegislature"/>
      </w:pPr>
      <w:r>
        <w:t>219th LEGISLATURE</w:t>
      </w:r>
    </w:p>
    <w:p w:rsidR="00403FB5" w:rsidRDefault="00403FB5" w:rsidP="00403FB5">
      <w:pPr>
        <w:pStyle w:val="bpuWpGraphic"/>
      </w:pPr>
      <w:r>
        <w:object w:dxaOrig="8985" w:dyaOrig="255">
          <v:shape id="_x0000_i1026" type="#_x0000_t75" style="width:6in;height:12pt" o:ole="">
            <v:imagedata r:id="rId7" o:title=""/>
          </v:shape>
          <o:OLEObject Type="Embed" ProgID="WPWin6.1" ShapeID="_x0000_i1026" DrawAspect="Content" ObjectID="_1641724366" r:id="rId9"/>
        </w:object>
      </w:r>
      <w:r>
        <w:t xml:space="preserve">  </w:t>
      </w:r>
    </w:p>
    <w:p w:rsidR="00403FB5" w:rsidRDefault="00403FB5" w:rsidP="00403FB5">
      <w:pPr>
        <w:pStyle w:val="bpuIntro"/>
      </w:pPr>
      <w:r>
        <w:t>PRE-FILED FOR INTRODUCTION IN THE 2020 SESSION</w:t>
      </w:r>
    </w:p>
    <w:p w:rsidR="00403FB5" w:rsidRDefault="00403FB5" w:rsidP="00403FB5">
      <w:pPr>
        <w:pStyle w:val="bpuIntro"/>
      </w:pPr>
    </w:p>
    <w:p w:rsidR="00403FB5" w:rsidRDefault="00403FB5" w:rsidP="00403FB5">
      <w:pPr>
        <w:pStyle w:val="bpuIntro"/>
        <w:sectPr w:rsidR="00403FB5" w:rsidSect="00403FB5">
          <w:headerReference w:type="even" r:id="rId10"/>
          <w:headerReference w:type="default" r:id="rId11"/>
          <w:pgSz w:w="12240" w:h="20160" w:code="5"/>
          <w:pgMar w:top="2160" w:right="1440" w:bottom="1440" w:left="1440" w:header="720" w:footer="720" w:gutter="0"/>
          <w:pgNumType w:start="1"/>
          <w:cols w:space="720"/>
          <w:docGrid w:linePitch="360"/>
        </w:sectPr>
      </w:pPr>
    </w:p>
    <w:p w:rsidR="00403FB5" w:rsidRDefault="00403FB5" w:rsidP="00403FB5">
      <w:pPr>
        <w:pStyle w:val="bpuIntro"/>
      </w:pPr>
    </w:p>
    <w:p w:rsidR="00403FB5" w:rsidRDefault="00403FB5" w:rsidP="00403FB5">
      <w:pPr>
        <w:pStyle w:val="bpuSponsor"/>
      </w:pPr>
      <w:r>
        <w:t>Sponsored by:</w:t>
      </w:r>
    </w:p>
    <w:p w:rsidR="00403FB5" w:rsidRDefault="00403FB5" w:rsidP="00403FB5">
      <w:pPr>
        <w:pStyle w:val="bpuSponsor"/>
      </w:pPr>
      <w:r>
        <w:t>Senator  DECLAN J. O'SCANLON, JR.</w:t>
      </w:r>
    </w:p>
    <w:p w:rsidR="00403FB5" w:rsidRDefault="00403FB5" w:rsidP="00403FB5">
      <w:pPr>
        <w:pStyle w:val="bpuSponsor"/>
      </w:pPr>
      <w:r>
        <w:t>District 13 (Monmouth)</w:t>
      </w:r>
    </w:p>
    <w:p w:rsidR="00403FB5" w:rsidRDefault="00403FB5" w:rsidP="00403FB5">
      <w:pPr>
        <w:pStyle w:val="bpuSponsor"/>
      </w:pPr>
    </w:p>
    <w:p w:rsidR="00403FB5" w:rsidRDefault="00403FB5" w:rsidP="00403FB5">
      <w:pPr>
        <w:pStyle w:val="bpuSponsor"/>
      </w:pPr>
    </w:p>
    <w:p w:rsidR="00403FB5" w:rsidRDefault="00403FB5" w:rsidP="00403FB5">
      <w:pPr>
        <w:pStyle w:val="bpuSponsor"/>
      </w:pPr>
    </w:p>
    <w:p w:rsidR="00403FB5" w:rsidRDefault="00403FB5" w:rsidP="00403FB5">
      <w:pPr>
        <w:pStyle w:val="bpuSponsor"/>
      </w:pPr>
    </w:p>
    <w:p w:rsidR="00403FB5" w:rsidRDefault="00403FB5" w:rsidP="00403FB5">
      <w:pPr>
        <w:pStyle w:val="bpuSponsor"/>
      </w:pPr>
      <w:r>
        <w:t>SYNOPSIS</w:t>
      </w:r>
    </w:p>
    <w:p w:rsidR="00983ECA" w:rsidRPr="00666D8A" w:rsidRDefault="00403FB5" w:rsidP="00983ECA">
      <w:r>
        <w:tab/>
      </w:r>
      <w:r w:rsidR="00983ECA">
        <w:t>Permits use of telemedicine and telehealth to authorize patients for medical cannabis and to issue written instructions for dispensing medical cannabis.</w:t>
      </w:r>
    </w:p>
    <w:p w:rsidR="00403FB5" w:rsidRDefault="00403FB5" w:rsidP="00403FB5">
      <w:pPr>
        <w:pStyle w:val="bpuNormText"/>
      </w:pPr>
    </w:p>
    <w:p w:rsidR="00403FB5" w:rsidRDefault="00403FB5" w:rsidP="00403FB5">
      <w:pPr>
        <w:pStyle w:val="bpuSponsor"/>
      </w:pPr>
      <w:r>
        <w:t xml:space="preserve">CURRENT VERSION OF TEXT </w:t>
      </w:r>
    </w:p>
    <w:p w:rsidR="00403FB5" w:rsidRDefault="00003C1E" w:rsidP="00403FB5">
      <w:pPr>
        <w:pStyle w:val="bpuNormText"/>
      </w:pPr>
      <w:r>
        <w:tab/>
        <w:t>As reported by the Senate Health, Human Services and Senior Citizens Committee on January 27, 2020, with amendments.</w:t>
      </w:r>
    </w:p>
    <w:p w:rsidR="00403FB5" w:rsidRDefault="00403FB5" w:rsidP="00403F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03FB5" w:rsidRDefault="00403F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3FB5" w:rsidSect="00403FB5">
          <w:type w:val="continuous"/>
          <w:pgSz w:w="12240" w:h="20160" w:code="5"/>
          <w:pgMar w:top="2160" w:right="2275" w:bottom="1440" w:left="2275" w:header="72" w:footer="720" w:gutter="0"/>
          <w:pgNumType w:start="1"/>
          <w:cols w:space="720"/>
          <w:docGrid w:linePitch="360"/>
        </w:sectPr>
      </w:pPr>
    </w:p>
    <w:p w:rsidR="0024595F" w:rsidRPr="00677316" w:rsidRDefault="0024595F" w:rsidP="0024595F">
      <w:pPr>
        <w:pStyle w:val="HangingAnAct"/>
        <w:rPr>
          <w:rStyle w:val="HangingAnActChar"/>
        </w:rPr>
      </w:pPr>
      <w:r w:rsidRPr="0024595F">
        <w:rPr>
          <w:rStyle w:val="BillHead"/>
        </w:rPr>
        <w:lastRenderedPageBreak/>
        <w:t>An Act</w:t>
      </w:r>
      <w:r w:rsidRPr="006B7FA7">
        <w:rPr>
          <w:rStyle w:val="HangingAnActChar"/>
        </w:rPr>
        <w:t xml:space="preserve"> </w:t>
      </w:r>
      <w:r>
        <w:rPr>
          <w:rStyle w:val="HangingAnActChar"/>
        </w:rPr>
        <w:t>concerning medical cannabis</w:t>
      </w:r>
      <w:r w:rsidRPr="00C66B04">
        <w:rPr>
          <w:rStyle w:val="HangingAnActChar"/>
        </w:rPr>
        <w:t xml:space="preserve"> and amending P.L.2019, c.153 and P.L.2009, c.307.</w:t>
      </w:r>
    </w:p>
    <w:p w:rsidR="0024595F" w:rsidRPr="00D71D68" w:rsidRDefault="0024595F" w:rsidP="0024595F"/>
    <w:p w:rsidR="0024595F" w:rsidRPr="00AA7880" w:rsidRDefault="0024595F" w:rsidP="0024595F">
      <w:r>
        <w:tab/>
      </w:r>
      <w:r>
        <w:rPr>
          <w:rStyle w:val="BillHeading2"/>
        </w:rPr>
        <w:t xml:space="preserve">Be It Enacted </w:t>
      </w:r>
      <w:r>
        <w:rPr>
          <w:rStyle w:val="BillLanguage"/>
        </w:rPr>
        <w:t>by the Senate and General Assembly of the State of New Jersey:</w:t>
      </w:r>
    </w:p>
    <w:p w:rsidR="0024595F" w:rsidRDefault="0024595F" w:rsidP="0024595F"/>
    <w:p w:rsidR="00003C1E" w:rsidRDefault="00003C1E" w:rsidP="00003C1E">
      <w:r>
        <w:tab/>
        <w:t>1.</w:t>
      </w:r>
      <w:r>
        <w:tab/>
        <w:t xml:space="preserve">Section 5 of P.L.2019, c.153 (C.24:6I-5.1) is amended to read as follows:  </w:t>
      </w:r>
    </w:p>
    <w:p w:rsidR="00003C1E" w:rsidRDefault="00003C1E" w:rsidP="00003C1E">
      <w:r>
        <w:tab/>
        <w:t>5.</w:t>
      </w:r>
      <w:r>
        <w:tab/>
        <w:t>a.  A health care practitioner shall not be required to be listed publicly in any medical cannabis practitioner registry as a condition of authorizing patients for the medical use of cannabis.</w:t>
      </w:r>
    </w:p>
    <w:p w:rsidR="00003C1E" w:rsidRDefault="00003C1E" w:rsidP="00003C1E">
      <w:r>
        <w:tab/>
        <w:t>b.</w:t>
      </w:r>
      <w:r>
        <w:tab/>
        <w:t>No authorization for the medical use of cannabis may be issued by a health care practitioner to the practitioner's own self or to a member of the practitioner's immediate family.</w:t>
      </w:r>
    </w:p>
    <w:p w:rsidR="00003C1E" w:rsidRDefault="00003C1E" w:rsidP="00003C1E">
      <w:r>
        <w:tab/>
        <w:t>c.</w:t>
      </w:r>
      <w:r>
        <w:tab/>
        <w:t>The commission shall establish a process to allow medical cannabis to be dispensed to a patient who has been authorized for the medical use of cannabis and who has initiated the process of registering with the commission pursuant to section 4 of P.L.2009, c.307 (C.24:6I-4), but whose registration has not been completed or subject to other final action by the commission.  A patient may be dispensed medical cannabis in quantities of up to a two-week supply during the pendency of the patient's registration, after which time the patient may be dispensed medical cannabis in an amount consistent with the requirements of section 10 of P.L.2009, c.307 (C.24:6I-10).  The commission shall impose such restrictions on access to medical cannabis pursuant to this subsection as shall be necessary to protect against fraud, abuse, and diversion.</w:t>
      </w:r>
    </w:p>
    <w:p w:rsidR="00003C1E" w:rsidRDefault="00003C1E" w:rsidP="00003C1E">
      <w:r>
        <w:tab/>
      </w:r>
      <w:r>
        <w:rPr>
          <w:u w:val="single"/>
        </w:rPr>
        <w:t>d.</w:t>
      </w:r>
      <w:r w:rsidRPr="00B428CB">
        <w:tab/>
      </w:r>
      <w:r>
        <w:rPr>
          <w:u w:val="single"/>
        </w:rPr>
        <w:t>For</w:t>
      </w:r>
      <w:r>
        <w:t xml:space="preserve"> </w:t>
      </w:r>
      <w:r>
        <w:rPr>
          <w:rFonts w:ascii="Albertus Extra Bold" w:hAnsi="Albertus Extra Bold"/>
          <w:b/>
          <w:vertAlign w:val="superscript"/>
        </w:rPr>
        <w:t>1</w:t>
      </w:r>
      <w:r>
        <w:rPr>
          <w:u w:val="single"/>
        </w:rPr>
        <w:t>a period of</w:t>
      </w:r>
      <w:r>
        <w:rPr>
          <w:rFonts w:ascii="Albertus Extra Bold" w:hAnsi="Albertus Extra Bold"/>
          <w:b/>
          <w:vertAlign w:val="superscript"/>
        </w:rPr>
        <w:t>1</w:t>
      </w:r>
      <w:r>
        <w:t xml:space="preserve"> </w:t>
      </w:r>
      <w:r>
        <w:rPr>
          <w:u w:val="single"/>
        </w:rPr>
        <w:t>270 days following the</w:t>
      </w:r>
      <w:r>
        <w:t xml:space="preserve"> </w:t>
      </w:r>
      <w:r>
        <w:rPr>
          <w:rFonts w:ascii="Albertus Extra Bold" w:hAnsi="Albertus Extra Bold"/>
          <w:b/>
          <w:vertAlign w:val="superscript"/>
        </w:rPr>
        <w:t>1</w:t>
      </w:r>
      <w:r>
        <w:rPr>
          <w:u w:val="single"/>
        </w:rPr>
        <w:t>effective</w:t>
      </w:r>
      <w:r>
        <w:rPr>
          <w:rFonts w:ascii="Albertus Extra Bold" w:hAnsi="Albertus Extra Bold"/>
          <w:b/>
          <w:vertAlign w:val="superscript"/>
        </w:rPr>
        <w:t>1</w:t>
      </w:r>
      <w:r>
        <w:t xml:space="preserve"> </w:t>
      </w:r>
      <w:r>
        <w:rPr>
          <w:u w:val="single"/>
        </w:rPr>
        <w:t>date of</w:t>
      </w:r>
      <w:r w:rsidRPr="00EF019F">
        <w:t xml:space="preserve"> </w:t>
      </w:r>
      <w:r w:rsidRPr="00EF019F">
        <w:rPr>
          <w:rFonts w:ascii="Albertus Extra Bold" w:hAnsi="Albertus Extra Bold"/>
          <w:b/>
          <w:vertAlign w:val="superscript"/>
        </w:rPr>
        <w:t>1</w:t>
      </w:r>
      <w:r w:rsidRPr="00EF019F">
        <w:rPr>
          <w:rFonts w:ascii="Albertus Extra Bold" w:hAnsi="Albertus Extra Bold"/>
          <w:b/>
        </w:rPr>
        <w:t>[</w:t>
      </w:r>
      <w:r>
        <w:rPr>
          <w:u w:val="single"/>
        </w:rPr>
        <w:t>enactment of</w:t>
      </w:r>
      <w:r w:rsidRPr="00EF019F">
        <w:rPr>
          <w:rFonts w:ascii="Albertus Extra Bold" w:hAnsi="Albertus Extra Bold"/>
          <w:b/>
        </w:rPr>
        <w:t>]</w:t>
      </w:r>
      <w:r>
        <w:rPr>
          <w:rFonts w:ascii="Albertus Extra Bold" w:hAnsi="Albertus Extra Bold"/>
          <w:b/>
          <w:vertAlign w:val="superscript"/>
        </w:rPr>
        <w:t>1</w:t>
      </w:r>
      <w:r>
        <w:t xml:space="preserve"> </w:t>
      </w:r>
      <w:r>
        <w:rPr>
          <w:u w:val="single"/>
        </w:rPr>
        <w:t>P.L.    , c.   (C.        ) (pending before the Legislature as this bill), a</w:t>
      </w:r>
      <w:r w:rsidRPr="005E1A8B">
        <w:rPr>
          <w:u w:val="single"/>
        </w:rPr>
        <w:t xml:space="preserve"> health c</w:t>
      </w:r>
      <w:r>
        <w:rPr>
          <w:u w:val="single"/>
        </w:rPr>
        <w:t xml:space="preserve">are practitioner may authorize a </w:t>
      </w:r>
      <w:r w:rsidRPr="00A7449E">
        <w:rPr>
          <w:u w:val="single"/>
        </w:rPr>
        <w:t>patient who is</w:t>
      </w:r>
      <w:r>
        <w:rPr>
          <w:u w:val="single"/>
        </w:rPr>
        <w:t xml:space="preserve"> a </w:t>
      </w:r>
      <w:r>
        <w:rPr>
          <w:rFonts w:ascii="Albertus Extra Bold" w:hAnsi="Albertus Extra Bold"/>
          <w:b/>
          <w:vertAlign w:val="superscript"/>
        </w:rPr>
        <w:t>1</w:t>
      </w:r>
      <w:r w:rsidRPr="007C459E">
        <w:rPr>
          <w:rFonts w:ascii="Albertus Extra Bold" w:hAnsi="Albertus Extra Bold"/>
          <w:b/>
        </w:rPr>
        <w:t>[</w:t>
      </w:r>
      <w:r>
        <w:rPr>
          <w:u w:val="single"/>
        </w:rPr>
        <w:t>child,</w:t>
      </w:r>
      <w:r w:rsidRPr="007C459E">
        <w:rPr>
          <w:rFonts w:ascii="Albertus Extra Bold" w:hAnsi="Albertus Extra Bold"/>
          <w:b/>
        </w:rPr>
        <w:t>]</w:t>
      </w:r>
      <w:r>
        <w:rPr>
          <w:rFonts w:ascii="Albertus Extra Bold" w:hAnsi="Albertus Extra Bold"/>
          <w:b/>
          <w:vertAlign w:val="superscript"/>
        </w:rPr>
        <w:t>1</w:t>
      </w:r>
      <w:r>
        <w:t xml:space="preserve"> </w:t>
      </w:r>
      <w:r>
        <w:rPr>
          <w:u w:val="single"/>
        </w:rPr>
        <w:t>resident of a long-term care facility,</w:t>
      </w:r>
      <w:r w:rsidRPr="00EF019F">
        <w:t xml:space="preserve"> </w:t>
      </w:r>
      <w:r w:rsidRPr="00EF019F">
        <w:rPr>
          <w:rFonts w:ascii="Albertus Extra Bold" w:hAnsi="Albertus Extra Bold"/>
          <w:b/>
          <w:vertAlign w:val="superscript"/>
        </w:rPr>
        <w:t>1</w:t>
      </w:r>
      <w:r w:rsidRPr="00EF019F">
        <w:rPr>
          <w:rFonts w:ascii="Albertus Extra Bold" w:hAnsi="Albertus Extra Bold"/>
          <w:b/>
        </w:rPr>
        <w:t>[</w:t>
      </w:r>
      <w:r>
        <w:rPr>
          <w:u w:val="single"/>
        </w:rPr>
        <w:t>developmentally disabled</w:t>
      </w:r>
      <w:r w:rsidRPr="00EF019F">
        <w:rPr>
          <w:rFonts w:ascii="Albertus Extra Bold" w:hAnsi="Albertus Extra Bold"/>
          <w:b/>
        </w:rPr>
        <w:t>]</w:t>
      </w:r>
      <w:r>
        <w:t xml:space="preserve"> </w:t>
      </w:r>
      <w:r>
        <w:rPr>
          <w:u w:val="single"/>
        </w:rPr>
        <w:t>has a developmental disability</w:t>
      </w:r>
      <w:r>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sidRPr="00A7449E">
        <w:rPr>
          <w:u w:val="single"/>
        </w:rPr>
        <w:t>terminally ill,</w:t>
      </w:r>
      <w:r>
        <w:t xml:space="preserve"> </w:t>
      </w:r>
      <w:r>
        <w:rPr>
          <w:rFonts w:ascii="Albertus Extra Bold" w:hAnsi="Albertus Extra Bold"/>
          <w:b/>
          <w:vertAlign w:val="superscript"/>
        </w:rPr>
        <w:t>1</w:t>
      </w:r>
      <w:r w:rsidRPr="00EF019F">
        <w:rPr>
          <w:u w:val="single"/>
        </w:rPr>
        <w:t>is</w:t>
      </w:r>
      <w:r>
        <w:rPr>
          <w:rFonts w:ascii="Albertus Extra Bold" w:hAnsi="Albertus Extra Bold"/>
          <w:b/>
          <w:vertAlign w:val="superscript"/>
        </w:rPr>
        <w:t>1</w:t>
      </w:r>
      <w:r>
        <w:t xml:space="preserve"> </w:t>
      </w:r>
      <w:r w:rsidRPr="00EF019F">
        <w:rPr>
          <w:u w:val="single"/>
        </w:rPr>
        <w:t>receiving</w:t>
      </w:r>
      <w:r w:rsidRPr="00A7449E">
        <w:rPr>
          <w:u w:val="single"/>
        </w:rPr>
        <w:t xml:space="preserve"> hospice care</w:t>
      </w:r>
      <w:r>
        <w:t xml:space="preserve"> </w:t>
      </w:r>
      <w:r>
        <w:rPr>
          <w:rFonts w:ascii="Albertus Extra Bold" w:hAnsi="Albertus Extra Bold"/>
          <w:b/>
          <w:vertAlign w:val="superscript"/>
        </w:rPr>
        <w:t>1</w:t>
      </w:r>
      <w:r>
        <w:rPr>
          <w:u w:val="single"/>
        </w:rPr>
        <w:t>through a licensed hospice care provider</w:t>
      </w:r>
      <w:r>
        <w:rPr>
          <w:rFonts w:ascii="Albertus Extra Bold" w:hAnsi="Albertus Extra Bold"/>
          <w:b/>
          <w:vertAlign w:val="superscript"/>
        </w:rPr>
        <w:t>1</w:t>
      </w:r>
      <w:r>
        <w:t xml:space="preserve"> </w:t>
      </w:r>
      <w:r w:rsidRPr="00A7449E">
        <w:rPr>
          <w:u w:val="single"/>
        </w:rPr>
        <w:t>, or</w:t>
      </w:r>
      <w:r w:rsidRPr="00EF019F">
        <w:t xml:space="preserve"> </w:t>
      </w:r>
      <w:r w:rsidRPr="00EF019F">
        <w:rPr>
          <w:rFonts w:ascii="Albertus Extra Bold" w:hAnsi="Albertus Extra Bold"/>
          <w:b/>
          <w:vertAlign w:val="superscript"/>
        </w:rPr>
        <w:t>1</w:t>
      </w:r>
      <w:r w:rsidRPr="00EF019F">
        <w:rPr>
          <w:u w:val="single"/>
        </w:rPr>
        <w:t>is</w:t>
      </w:r>
      <w:r>
        <w:rPr>
          <w:rFonts w:ascii="Albertus Extra Bold" w:hAnsi="Albertus Extra Bold"/>
          <w:b/>
          <w:vertAlign w:val="superscript"/>
        </w:rPr>
        <w:t>1</w:t>
      </w:r>
      <w:r>
        <w:t xml:space="preserve"> </w:t>
      </w:r>
      <w:r w:rsidRPr="00A7449E">
        <w:rPr>
          <w:u w:val="single"/>
        </w:rPr>
        <w:t>housebound</w:t>
      </w:r>
      <w:r>
        <w:rPr>
          <w:u w:val="single"/>
        </w:rPr>
        <w:t xml:space="preserve"> </w:t>
      </w:r>
      <w:r w:rsidRPr="00CA2A39">
        <w:rPr>
          <w:u w:val="single"/>
        </w:rPr>
        <w:t>as certified by the patient’s physician</w:t>
      </w:r>
      <w:r>
        <w:rPr>
          <w:u w:val="single"/>
        </w:rPr>
        <w:t>,</w:t>
      </w:r>
      <w:r w:rsidRPr="005E1A8B">
        <w:rPr>
          <w:u w:val="single"/>
        </w:rPr>
        <w:t xml:space="preserve"> for the medical use of cannabis</w:t>
      </w:r>
      <w:r w:rsidRPr="007057E2">
        <w:t xml:space="preserve"> </w:t>
      </w:r>
      <w:r w:rsidRPr="007057E2">
        <w:rPr>
          <w:rFonts w:ascii="Albertus Extra Bold" w:hAnsi="Albertus Extra Bold"/>
          <w:b/>
          <w:vertAlign w:val="superscript"/>
        </w:rPr>
        <w:t>1</w:t>
      </w:r>
      <w:r w:rsidRPr="007057E2">
        <w:rPr>
          <w:rFonts w:ascii="Albertus Extra Bold" w:hAnsi="Albertus Extra Bold"/>
          <w:b/>
        </w:rPr>
        <w:t>[</w:t>
      </w:r>
      <w:r w:rsidRPr="005E1A8B">
        <w:rPr>
          <w:u w:val="single"/>
        </w:rPr>
        <w:t>in the course of the health care practitioner</w:t>
      </w:r>
      <w:r>
        <w:rPr>
          <w:u w:val="single"/>
        </w:rPr>
        <w:t>’s</w:t>
      </w:r>
      <w:r w:rsidRPr="005E1A8B">
        <w:rPr>
          <w:u w:val="single"/>
        </w:rPr>
        <w:t xml:space="preserve"> practice of</w:t>
      </w:r>
      <w:r w:rsidRPr="007057E2">
        <w:rPr>
          <w:rFonts w:ascii="Albertus Extra Bold" w:hAnsi="Albertus Extra Bold"/>
          <w:b/>
        </w:rPr>
        <w:t>]</w:t>
      </w:r>
      <w:r>
        <w:t xml:space="preserve"> </w:t>
      </w:r>
      <w:r>
        <w:rPr>
          <w:u w:val="single"/>
        </w:rPr>
        <w:t>using</w:t>
      </w:r>
      <w:r>
        <w:rPr>
          <w:rFonts w:ascii="Albertus Extra Bold" w:hAnsi="Albertus Extra Bold"/>
          <w:b/>
          <w:vertAlign w:val="superscript"/>
        </w:rPr>
        <w:t>1</w:t>
      </w:r>
      <w:r>
        <w:t xml:space="preserve"> </w:t>
      </w:r>
      <w:r w:rsidRPr="005E1A8B">
        <w:rPr>
          <w:u w:val="single"/>
        </w:rPr>
        <w:t xml:space="preserve">telemedicine </w:t>
      </w:r>
      <w:r>
        <w:rPr>
          <w:u w:val="single"/>
        </w:rPr>
        <w:t>or telehealth</w:t>
      </w:r>
      <w:r w:rsidRPr="005E1A8B">
        <w:rPr>
          <w:u w:val="single"/>
        </w:rPr>
        <w:t>.</w:t>
      </w:r>
      <w:r w:rsidRPr="007057E2">
        <w:t xml:space="preserve">  </w:t>
      </w:r>
      <w:r w:rsidRPr="007057E2">
        <w:rPr>
          <w:rFonts w:ascii="Albertus Extra Bold" w:hAnsi="Albertus Extra Bold"/>
          <w:b/>
          <w:vertAlign w:val="superscript"/>
        </w:rPr>
        <w:t>1</w:t>
      </w:r>
      <w:r w:rsidRPr="007057E2">
        <w:rPr>
          <w:rFonts w:ascii="Albertus Extra Bold" w:hAnsi="Albertus Extra Bold"/>
          <w:b/>
        </w:rPr>
        <w:t>[</w:t>
      </w:r>
      <w:r>
        <w:rPr>
          <w:u w:val="single"/>
        </w:rPr>
        <w:t>Following the 270 day period after the date of enactment of P.L.    , c.   (C.        ) (pending before the Legislature as this bill)</w:t>
      </w:r>
      <w:r w:rsidRPr="007057E2">
        <w:rPr>
          <w:rFonts w:ascii="Albertus Extra Bold" w:hAnsi="Albertus Extra Bold"/>
          <w:b/>
        </w:rPr>
        <w:t>]</w:t>
      </w:r>
      <w:r>
        <w:t xml:space="preserve"> </w:t>
      </w:r>
      <w:r>
        <w:rPr>
          <w:u w:val="single"/>
        </w:rPr>
        <w:t>Thereafter,</w:t>
      </w:r>
      <w:r>
        <w:rPr>
          <w:rFonts w:ascii="Albertus Extra Bold" w:hAnsi="Albertus Extra Bold"/>
          <w:b/>
          <w:vertAlign w:val="superscript"/>
        </w:rPr>
        <w:t>1</w:t>
      </w:r>
      <w:r>
        <w:t xml:space="preserve"> </w:t>
      </w:r>
      <w:r>
        <w:rPr>
          <w:u w:val="single"/>
        </w:rPr>
        <w:t>a</w:t>
      </w:r>
      <w:r w:rsidRPr="005E1A8B">
        <w:rPr>
          <w:u w:val="single"/>
        </w:rPr>
        <w:t xml:space="preserve"> health care practitioner may authorize a</w:t>
      </w:r>
      <w:r>
        <w:rPr>
          <w:u w:val="single"/>
        </w:rPr>
        <w:t xml:space="preserve">ny </w:t>
      </w:r>
      <w:r w:rsidRPr="005E1A8B">
        <w:rPr>
          <w:u w:val="single"/>
        </w:rPr>
        <w:t>patient for the medical use of cannabis</w:t>
      </w:r>
      <w:r w:rsidRPr="007057E2">
        <w:t xml:space="preserve"> </w:t>
      </w:r>
      <w:r w:rsidRPr="007057E2">
        <w:rPr>
          <w:rFonts w:ascii="Albertus Extra Bold" w:hAnsi="Albertus Extra Bold"/>
          <w:b/>
          <w:vertAlign w:val="superscript"/>
        </w:rPr>
        <w:t>1</w:t>
      </w:r>
      <w:r w:rsidRPr="007057E2">
        <w:rPr>
          <w:rFonts w:ascii="Albertus Extra Bold" w:hAnsi="Albertus Extra Bold"/>
          <w:b/>
        </w:rPr>
        <w:t>[</w:t>
      </w:r>
      <w:r w:rsidRPr="005E1A8B">
        <w:rPr>
          <w:u w:val="single"/>
        </w:rPr>
        <w:t>in the course of the health care practitioner</w:t>
      </w:r>
      <w:r>
        <w:rPr>
          <w:u w:val="single"/>
        </w:rPr>
        <w:t>’s</w:t>
      </w:r>
      <w:r w:rsidRPr="005E1A8B">
        <w:rPr>
          <w:u w:val="single"/>
        </w:rPr>
        <w:t xml:space="preserve"> practice of</w:t>
      </w:r>
      <w:r w:rsidRPr="007057E2">
        <w:rPr>
          <w:rFonts w:ascii="Albertus Extra Bold" w:hAnsi="Albertus Extra Bold"/>
          <w:b/>
        </w:rPr>
        <w:t>]</w:t>
      </w:r>
      <w:r>
        <w:t xml:space="preserve"> </w:t>
      </w:r>
      <w:r>
        <w:rPr>
          <w:u w:val="single"/>
        </w:rPr>
        <w:t>using</w:t>
      </w:r>
      <w:r>
        <w:rPr>
          <w:rFonts w:ascii="Albertus Extra Bold" w:hAnsi="Albertus Extra Bold"/>
          <w:b/>
          <w:vertAlign w:val="superscript"/>
        </w:rPr>
        <w:t>1</w:t>
      </w:r>
      <w:r>
        <w:t xml:space="preserve"> </w:t>
      </w:r>
      <w:r>
        <w:rPr>
          <w:u w:val="single"/>
        </w:rPr>
        <w:t>telemedicine or telehealth</w:t>
      </w:r>
      <w:r w:rsidRPr="005E1A8B">
        <w:rPr>
          <w:u w:val="single"/>
        </w:rPr>
        <w:t>, provided that</w:t>
      </w:r>
      <w:r>
        <w:rPr>
          <w:u w:val="single"/>
        </w:rPr>
        <w:t>, and</w:t>
      </w:r>
      <w:r w:rsidRPr="00DF4689">
        <w:rPr>
          <w:u w:val="single"/>
        </w:rPr>
        <w:t xml:space="preserve"> except in the case of a pati</w:t>
      </w:r>
      <w:r>
        <w:rPr>
          <w:u w:val="single"/>
        </w:rPr>
        <w:t>ent who is a</w:t>
      </w:r>
      <w:r w:rsidRPr="00EF7471">
        <w:rPr>
          <w:rFonts w:ascii="Albertus Extra Bold" w:hAnsi="Albertus Extra Bold"/>
          <w:b/>
          <w:vertAlign w:val="superscript"/>
        </w:rPr>
        <w:t xml:space="preserve"> 1</w:t>
      </w:r>
      <w:r w:rsidRPr="00EF7471">
        <w:rPr>
          <w:rFonts w:ascii="Albertus Extra Bold" w:hAnsi="Albertus Extra Bold"/>
          <w:b/>
        </w:rPr>
        <w:t>[</w:t>
      </w:r>
      <w:r>
        <w:rPr>
          <w:u w:val="single"/>
        </w:rPr>
        <w:t>child, developmentally disabled</w:t>
      </w:r>
      <w:r w:rsidRPr="007057E2">
        <w:rPr>
          <w:rFonts w:ascii="Albertus Extra Bold" w:hAnsi="Albertus Extra Bold"/>
          <w:b/>
        </w:rPr>
        <w:t>]</w:t>
      </w:r>
      <w:r>
        <w:t xml:space="preserve"> </w:t>
      </w:r>
      <w:r>
        <w:rPr>
          <w:u w:val="single"/>
        </w:rPr>
        <w:t>resident of a long-term care facility, has a developmental disability</w:t>
      </w:r>
      <w:r>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sidRPr="00A7449E">
        <w:rPr>
          <w:u w:val="single"/>
        </w:rPr>
        <w:t>terminally ill,</w:t>
      </w:r>
      <w:r>
        <w:t xml:space="preserve"> </w:t>
      </w:r>
      <w:r>
        <w:rPr>
          <w:rFonts w:ascii="Albertus Extra Bold" w:hAnsi="Albertus Extra Bold"/>
          <w:b/>
          <w:vertAlign w:val="superscript"/>
        </w:rPr>
        <w:t>1</w:t>
      </w:r>
      <w:r>
        <w:rPr>
          <w:u w:val="single"/>
        </w:rPr>
        <w:t>is</w:t>
      </w:r>
      <w:r>
        <w:rPr>
          <w:rFonts w:ascii="Albertus Extra Bold" w:hAnsi="Albertus Extra Bold"/>
          <w:b/>
          <w:vertAlign w:val="superscript"/>
        </w:rPr>
        <w:t>1</w:t>
      </w:r>
      <w:r>
        <w:t xml:space="preserve"> </w:t>
      </w:r>
      <w:r w:rsidRPr="00A7449E">
        <w:rPr>
          <w:u w:val="single"/>
        </w:rPr>
        <w:lastRenderedPageBreak/>
        <w:t>receiving hospice care</w:t>
      </w:r>
      <w:r>
        <w:t xml:space="preserve"> </w:t>
      </w:r>
      <w:r>
        <w:rPr>
          <w:rFonts w:ascii="Albertus Extra Bold" w:hAnsi="Albertus Extra Bold"/>
          <w:b/>
          <w:vertAlign w:val="superscript"/>
        </w:rPr>
        <w:t>1</w:t>
      </w:r>
      <w:r>
        <w:rPr>
          <w:u w:val="single"/>
        </w:rPr>
        <w:t>from a licensed hospice care provider</w:t>
      </w:r>
      <w:r>
        <w:rPr>
          <w:rFonts w:ascii="Albertus Extra Bold" w:hAnsi="Albertus Extra Bold"/>
          <w:b/>
          <w:vertAlign w:val="superscript"/>
        </w:rPr>
        <w:t>1</w:t>
      </w:r>
      <w:r>
        <w:t xml:space="preserve"> </w:t>
      </w:r>
      <w:r w:rsidRPr="00A7449E">
        <w:rPr>
          <w:u w:val="single"/>
        </w:rPr>
        <w:t>, or</w:t>
      </w:r>
      <w:r>
        <w:t xml:space="preserve"> </w:t>
      </w:r>
      <w:r>
        <w:rPr>
          <w:rFonts w:ascii="Albertus Extra Bold" w:hAnsi="Albertus Extra Bold"/>
          <w:b/>
          <w:vertAlign w:val="superscript"/>
        </w:rPr>
        <w:t>1</w:t>
      </w:r>
      <w:r w:rsidRPr="007057E2">
        <w:rPr>
          <w:u w:val="single"/>
        </w:rPr>
        <w:t>is</w:t>
      </w:r>
      <w:r w:rsidRPr="007057E2">
        <w:rPr>
          <w:rFonts w:ascii="Albertus Extra Bold" w:hAnsi="Albertus Extra Bold"/>
          <w:b/>
          <w:vertAlign w:val="superscript"/>
        </w:rPr>
        <w:t>1</w:t>
      </w:r>
      <w:r>
        <w:t xml:space="preserve"> </w:t>
      </w:r>
      <w:r w:rsidRPr="00A7449E">
        <w:rPr>
          <w:u w:val="single"/>
        </w:rPr>
        <w:t>housebound</w:t>
      </w:r>
      <w:r>
        <w:t xml:space="preserve"> </w:t>
      </w:r>
      <w:r>
        <w:rPr>
          <w:rFonts w:ascii="Albertus Extra Bold" w:hAnsi="Albertus Extra Bold"/>
          <w:b/>
          <w:vertAlign w:val="superscript"/>
        </w:rPr>
        <w:t>1</w:t>
      </w:r>
      <w:r>
        <w:rPr>
          <w:u w:val="single"/>
        </w:rPr>
        <w:t>as certified by the patient’s physician</w:t>
      </w:r>
      <w:r>
        <w:rPr>
          <w:rFonts w:ascii="Albertus Extra Bold" w:hAnsi="Albertus Extra Bold"/>
          <w:b/>
          <w:vertAlign w:val="superscript"/>
        </w:rPr>
        <w:t>1</w:t>
      </w:r>
      <w:r>
        <w:t xml:space="preserve"> </w:t>
      </w:r>
      <w:r w:rsidRPr="00DF4689">
        <w:rPr>
          <w:u w:val="single"/>
        </w:rPr>
        <w:t xml:space="preserve">, </w:t>
      </w:r>
      <w:r w:rsidRPr="005E1A8B">
        <w:rPr>
          <w:u w:val="single"/>
        </w:rPr>
        <w:t>the patient has had at least one previous in-office</w:t>
      </w:r>
      <w:r w:rsidRPr="007057E2">
        <w:t xml:space="preserve"> </w:t>
      </w:r>
      <w:r w:rsidRPr="007057E2">
        <w:rPr>
          <w:rFonts w:ascii="Albertus Extra Bold" w:hAnsi="Albertus Extra Bold"/>
          <w:b/>
          <w:vertAlign w:val="superscript"/>
        </w:rPr>
        <w:t>1</w:t>
      </w:r>
      <w:r w:rsidRPr="007057E2">
        <w:rPr>
          <w:rFonts w:ascii="Albertus Extra Bold" w:hAnsi="Albertus Extra Bold"/>
          <w:b/>
        </w:rPr>
        <w:t>[</w:t>
      </w:r>
      <w:r w:rsidRPr="005E1A8B">
        <w:rPr>
          <w:u w:val="single"/>
        </w:rPr>
        <w:t>visit</w:t>
      </w:r>
      <w:r w:rsidRPr="007057E2">
        <w:rPr>
          <w:rFonts w:ascii="Albertus Extra Bold" w:hAnsi="Albertus Extra Bold"/>
          <w:b/>
        </w:rPr>
        <w:t>]</w:t>
      </w:r>
      <w:r>
        <w:t xml:space="preserve"> </w:t>
      </w:r>
      <w:r>
        <w:rPr>
          <w:u w:val="single"/>
        </w:rPr>
        <w:t>consultation</w:t>
      </w:r>
      <w:r>
        <w:rPr>
          <w:rFonts w:ascii="Albertus Extra Bold" w:hAnsi="Albertus Extra Bold"/>
          <w:b/>
          <w:vertAlign w:val="superscript"/>
        </w:rPr>
        <w:t>1</w:t>
      </w:r>
      <w:r>
        <w:t xml:space="preserve"> </w:t>
      </w:r>
      <w:r w:rsidRPr="005E1A8B">
        <w:rPr>
          <w:u w:val="single"/>
        </w:rPr>
        <w:t>with the health care practitioner</w:t>
      </w:r>
      <w:r>
        <w:rPr>
          <w:u w:val="single"/>
        </w:rPr>
        <w:t xml:space="preserve"> </w:t>
      </w:r>
      <w:r w:rsidRPr="005E1A8B">
        <w:rPr>
          <w:u w:val="single"/>
        </w:rPr>
        <w:t>prior to</w:t>
      </w:r>
      <w:r>
        <w:rPr>
          <w:u w:val="single"/>
        </w:rPr>
        <w:t xml:space="preserve"> the</w:t>
      </w:r>
      <w:r w:rsidRPr="007057E2">
        <w:t xml:space="preserve"> </w:t>
      </w:r>
      <w:r w:rsidRPr="007057E2">
        <w:rPr>
          <w:rFonts w:ascii="Albertus Extra Bold" w:hAnsi="Albertus Extra Bold"/>
          <w:b/>
          <w:vertAlign w:val="superscript"/>
        </w:rPr>
        <w:t>1</w:t>
      </w:r>
      <w:r w:rsidRPr="007057E2">
        <w:rPr>
          <w:rFonts w:ascii="Albertus Extra Bold" w:hAnsi="Albertus Extra Bold"/>
          <w:b/>
        </w:rPr>
        <w:t>[</w:t>
      </w:r>
      <w:r>
        <w:rPr>
          <w:u w:val="single"/>
        </w:rPr>
        <w:t>patient’s authorization</w:t>
      </w:r>
      <w:r w:rsidRPr="007057E2">
        <w:rPr>
          <w:rFonts w:ascii="Albertus Extra Bold" w:hAnsi="Albertus Extra Bold"/>
          <w:b/>
        </w:rPr>
        <w:t>]</w:t>
      </w:r>
      <w:r>
        <w:t xml:space="preserve"> </w:t>
      </w:r>
      <w:r>
        <w:rPr>
          <w:u w:val="single"/>
        </w:rPr>
        <w:t>practitioner authorizing the patient</w:t>
      </w:r>
      <w:r>
        <w:rPr>
          <w:rFonts w:ascii="Albertus Extra Bold" w:hAnsi="Albertus Extra Bold"/>
          <w:b/>
          <w:vertAlign w:val="superscript"/>
        </w:rPr>
        <w:t>1</w:t>
      </w:r>
      <w:r>
        <w:t xml:space="preserve"> </w:t>
      </w:r>
      <w:r>
        <w:rPr>
          <w:u w:val="single"/>
        </w:rPr>
        <w:t>for the medical use of cannabis</w:t>
      </w:r>
      <w:r>
        <w:t xml:space="preserve"> </w:t>
      </w:r>
      <w:r>
        <w:rPr>
          <w:rFonts w:ascii="Albertus Extra Bold" w:hAnsi="Albertus Extra Bold"/>
          <w:b/>
          <w:vertAlign w:val="superscript"/>
        </w:rPr>
        <w:t>1</w:t>
      </w:r>
      <w:r>
        <w:rPr>
          <w:u w:val="single"/>
        </w:rPr>
        <w:t>using telemedicine or telehealth</w:t>
      </w:r>
      <w:r>
        <w:rPr>
          <w:rFonts w:ascii="Albertus Extra Bold" w:hAnsi="Albertus Extra Bold"/>
          <w:b/>
          <w:vertAlign w:val="superscript"/>
        </w:rPr>
        <w:t>1</w:t>
      </w:r>
      <w:r>
        <w:t xml:space="preserve"> </w:t>
      </w:r>
      <w:r>
        <w:rPr>
          <w:u w:val="single"/>
        </w:rPr>
        <w:t>.</w:t>
      </w:r>
    </w:p>
    <w:p w:rsidR="00003C1E" w:rsidRPr="005E1A8B" w:rsidRDefault="00003C1E" w:rsidP="00003C1E">
      <w:r>
        <w:tab/>
      </w:r>
      <w:r w:rsidRPr="005E1A8B">
        <w:rPr>
          <w:u w:val="single"/>
        </w:rPr>
        <w:t xml:space="preserve">As used in this subsection, </w:t>
      </w:r>
      <w:r>
        <w:rPr>
          <w:u w:val="single"/>
        </w:rPr>
        <w:t xml:space="preserve">“telehealth” and “telemedicine” shall have the same meaning as is provided in section 1 of </w:t>
      </w:r>
      <w:r w:rsidRPr="005E1A8B">
        <w:rPr>
          <w:u w:val="single"/>
        </w:rPr>
        <w:t>P</w:t>
      </w:r>
      <w:r>
        <w:rPr>
          <w:u w:val="single"/>
        </w:rPr>
        <w:t>.L.2017, c.117 (C.45:1-61</w:t>
      </w:r>
      <w:r w:rsidRPr="005E1A8B">
        <w:rPr>
          <w:u w:val="single"/>
        </w:rPr>
        <w:t>)</w:t>
      </w:r>
      <w:r>
        <w:rPr>
          <w:u w:val="single"/>
        </w:rPr>
        <w:t>.</w:t>
      </w:r>
    </w:p>
    <w:p w:rsidR="00003C1E" w:rsidRDefault="00003C1E" w:rsidP="00003C1E">
      <w:r>
        <w:t>(</w:t>
      </w:r>
      <w:proofErr w:type="spellStart"/>
      <w:r>
        <w:t>cf</w:t>
      </w:r>
      <w:proofErr w:type="spellEnd"/>
      <w:r>
        <w:t>: P.L.2019, c.153, s.5)</w:t>
      </w:r>
    </w:p>
    <w:p w:rsidR="0024595F" w:rsidRDefault="0024595F" w:rsidP="0024595F"/>
    <w:p w:rsidR="00EF7C0D" w:rsidRDefault="00EF7C0D" w:rsidP="00EF7C0D">
      <w:r>
        <w:tab/>
        <w:t>2.</w:t>
      </w:r>
      <w:r>
        <w:tab/>
        <w:t xml:space="preserve">Section 10 of P.L.2009, c.307 (C.24:6I-10) is amended to read as follows:  </w:t>
      </w:r>
    </w:p>
    <w:p w:rsidR="00EF7C0D" w:rsidRDefault="00EF7C0D" w:rsidP="00EF7C0D">
      <w:r>
        <w:tab/>
        <w:t>10.</w:t>
      </w:r>
      <w:r>
        <w:tab/>
        <w:t>a. 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
    <w:p w:rsidR="00EF7C0D" w:rsidRDefault="00EF7C0D" w:rsidP="00EF7C0D">
      <w:r>
        <w:tab/>
        <w:t>b.</w:t>
      </w:r>
      <w:r>
        <w:tab/>
        <w:t>A health care practitioner may issue multiple written instructions at one time authorizing the patient to receive a total of up to a one-year supply, provided that the following conditions are met:</w:t>
      </w:r>
    </w:p>
    <w:p w:rsidR="00EF7C0D" w:rsidRDefault="00EF7C0D" w:rsidP="00EF7C0D">
      <w:r>
        <w:tab/>
        <w:t>(1)</w:t>
      </w:r>
      <w:r>
        <w:tab/>
        <w:t>Each separate set of instructions shall be issued for a legitimate medical purpose by the health care practitioner, as provided in P.L.2009, c.307 (C.24:6I-1 et al.);</w:t>
      </w:r>
    </w:p>
    <w:p w:rsidR="00EF7C0D" w:rsidRDefault="00EF7C0D" w:rsidP="00EF7C0D">
      <w:r>
        <w:tab/>
        <w:t>(2)</w:t>
      </w:r>
      <w:r>
        <w:tab/>
        <w:t>Each separate set of instructions shall indicate the earliest date on which a dispensary or clinical registrant may dispense the cannabis, except for the first dispensation if it is to be filled immediately; and</w:t>
      </w:r>
    </w:p>
    <w:p w:rsidR="00EF7C0D" w:rsidRDefault="00EF7C0D" w:rsidP="00EF7C0D">
      <w:r>
        <w:tab/>
        <w:t>(3)</w:t>
      </w:r>
      <w:r>
        <w:tab/>
        <w:t>The health care practitioner has determined that providing the patient with multiple instructions in this manner does not create an undue risk of diversion or abuse.</w:t>
      </w:r>
    </w:p>
    <w:p w:rsidR="00EF7C0D" w:rsidRDefault="00EF7C0D" w:rsidP="00EF7C0D">
      <w:r>
        <w:tab/>
        <w:t>c.</w:t>
      </w:r>
      <w:r>
        <w:tab/>
        <w:t xml:space="preserve">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dispensing or delivery of medical cannabis, which medical cannabis dispensary or clinical registrant shall verify and log the documentation presented. An institutional caregiver shall additionally present an authorization executed by the patient certifying that the institutional caregiver is authorized to obtain medical cannabis on behalf of the patient.  A health care </w:t>
      </w:r>
      <w:r>
        <w:lastRenderedPageBreak/>
        <w:t xml:space="preserve">practitioner may provide a copy of a written instruction by electronic or other means, </w:t>
      </w:r>
      <w:r>
        <w:rPr>
          <w:u w:val="single"/>
        </w:rPr>
        <w:t>including</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Pr>
          <w:u w:val="single"/>
        </w:rPr>
        <w:t>but not limited to, telemedicine and telehealth,</w:t>
      </w:r>
      <w:r>
        <w:t xml:space="preserve"> as determined by the commission, directly to a medical cannabis dispensary or a clinical registrant on behalf of a registered qualifying patient.  The dispensation of medical cannabis pursuant to any written instructions shall occur within one year of the date that the instructions were written or become eligible for dispensing, whichever is later, or the instructions are void.</w:t>
      </w:r>
    </w:p>
    <w:p w:rsidR="00EF7C0D" w:rsidRDefault="00EF7C0D" w:rsidP="00EF7C0D">
      <w:r>
        <w:tab/>
        <w:t>d.</w:t>
      </w:r>
      <w:r>
        <w:tab/>
        <w:t>(Deleted by amendment, P.L.2019, c.153)</w:t>
      </w:r>
    </w:p>
    <w:p w:rsidR="00EF7C0D" w:rsidRDefault="00EF7C0D" w:rsidP="00EF7C0D">
      <w:r>
        <w:tab/>
        <w:t>e.</w:t>
      </w:r>
      <w:r>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was dispensed.</w:t>
      </w:r>
    </w:p>
    <w:p w:rsidR="00EF7C0D" w:rsidRDefault="00EF7C0D" w:rsidP="00EF7C0D">
      <w:r>
        <w:tab/>
        <w:t>f.</w:t>
      </w:r>
      <w:r>
        <w:tab/>
        <w:t>(1)</w:t>
      </w:r>
      <w:r w:rsidR="00337DBB">
        <w:t xml:space="preserve"> </w:t>
      </w:r>
      <w:r>
        <w:t xml:space="preserve"> Except as provided in paragraph (2) of this subsection, for a period of 18 months after the effective date of  P.L.2019, c.153 (C.24:6I-5.1 et al.), the maximum amount of usable cannabis that a patient may be dispensed, in weight, in a 30-day period, shall be three ounces.  Commencing 18 months after the effective date of P.L.2019, c.153 (C.24:6I-5.1 et al.), the maximum amount of usable cannabis that a patient may be dispensed shall be prescribed by the commission by regulation.  </w:t>
      </w:r>
    </w:p>
    <w:p w:rsidR="00EF7C0D" w:rsidRDefault="00EF7C0D" w:rsidP="00EF7C0D">
      <w:r>
        <w:tab/>
        <w:t>(2)</w:t>
      </w:r>
      <w:r>
        <w:tab/>
        <w:t>The monthly limits set forth in paragraph (1) of this subsection shall not apply to patients who are terminally ill or who are currently receiving hospice care through a licensed hospice, which patients may be dispensed an unlimited amount of medical cannabis. 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
    <w:p w:rsidR="00EF7C0D" w:rsidRDefault="00EF7C0D" w:rsidP="00EF7C0D">
      <w:r>
        <w:tab/>
        <w:t>g.</w:t>
      </w:r>
      <w:r>
        <w:tab/>
        <w:t>The commission shall establish, by regulation, curricula for health care practitioners and for staff at medical cannabis dispensaries and clinical registrants:</w:t>
      </w:r>
    </w:p>
    <w:p w:rsidR="00EF7C0D" w:rsidRDefault="00EF7C0D" w:rsidP="00EF7C0D">
      <w:r>
        <w:tab/>
        <w:t>(1)</w:t>
      </w:r>
      <w:r>
        <w:tab/>
        <w:t xml:space="preserve">The curriculum for health care practitioners shall be designed to assist practitioners in counseling patients with regard to the quantity, dosing, and administration of medical cannabis as </w:t>
      </w:r>
      <w:r>
        <w:lastRenderedPageBreak/>
        <w:t>shall be appropriate to treat the patient's qualifying medical condition.  Health care practitioners shall complete the curriculum as a condition of authorizing patients for the medical use of cannabis; and</w:t>
      </w:r>
    </w:p>
    <w:p w:rsidR="00EF7C0D" w:rsidRDefault="00EF7C0D" w:rsidP="00EF7C0D">
      <w:r>
        <w:tab/>
        <w:t>(2)</w:t>
      </w:r>
      <w:r>
        <w:tab/>
        <w:t>The curriculum for employees of medical cannabis dispensaries and clinical registrants shall be designed to assist the employees in counseling patients with regard to determining the strain and form of medical cannabis that is appropriate to treat the patient's qualifying medical condition.  Employees of medical 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EF7C0D" w:rsidRDefault="00EF7C0D" w:rsidP="00EF7C0D">
      <w:r>
        <w:tab/>
        <w:t>h.</w:t>
      </w:r>
      <w:r>
        <w:tab/>
        <w:t>Commencing July 1, 2020, the amount of the sales tax that may be imposed under the "Sales and Use Tax Act," P.L.1966, c.30 (C.54:32B-1 et seq.) on medical cannabis dispensed by a medical cannabis dispensary or clinical registrant shall not exceed four percent.</w:t>
      </w:r>
    </w:p>
    <w:p w:rsidR="00EF7C0D" w:rsidRDefault="00EF7C0D" w:rsidP="00EF7C0D">
      <w:r>
        <w:tab/>
        <w:t>Commencing July 1, 2021, the amount of the sales tax that may be imposed under the "Sales and Use Tax Act," P.L.1966, c.30 (C.54:32B-1 et seq.) on medical cannabis dispensed by a medical cannabis dispensary or clinical registrant shall not exceed two percent.</w:t>
      </w:r>
    </w:p>
    <w:p w:rsidR="00EF7C0D" w:rsidRDefault="00EF7C0D" w:rsidP="00EF7C0D">
      <w:r>
        <w:tab/>
        <w:t>Commencing July 1, 2022, medical cannabis dispensed by a medical cannabis dispensary or clinical registrant shall not be subject to any tax imposed under the "Sales and Use Tax Act," P.L.1966, c.30 (C.54:32B-1 et seq.).</w:t>
      </w:r>
    </w:p>
    <w:p w:rsidR="00EF7C0D" w:rsidRDefault="00EF7C0D" w:rsidP="00EF7C0D">
      <w:r>
        <w:tab/>
        <w:t>Any revenue collected pursuant to a tax imposed on the sale of medical cannabis under the "Sales and Use Tax Act," P.L.1966, c.30 (C.54:32B-1 et seq.), shall be exclusively appropriated to programs for the treatment of mental health and substance use disorders.</w:t>
      </w:r>
    </w:p>
    <w:p w:rsidR="00EF7C0D" w:rsidRDefault="00EF7C0D" w:rsidP="00EF7C0D">
      <w:r>
        <w:tab/>
      </w:r>
      <w:proofErr w:type="spellStart"/>
      <w:r>
        <w:t>i</w:t>
      </w:r>
      <w:proofErr w:type="spellEnd"/>
      <w:r>
        <w:t>.</w:t>
      </w:r>
      <w:r>
        <w:tab/>
        <w:t>A municipality in which a medical cannabis dispensary is located may adopt an ordinance imposing a transfer tax on any medical cannabis dispensed by the dispensary, including medical cannabis that is furnished by the dispensary to a medical cannabis handler for delivery to a registered qualifying patient or the patient's caregiver.  The rate of a transfer tax established pursuant to this subsection shall be at the discretion of the municipality, except that in no case shall the rate exceed two percent of the purchase price of the medical cannabis.</w:t>
      </w:r>
    </w:p>
    <w:p w:rsidR="00EF7C0D" w:rsidRDefault="00EF7C0D" w:rsidP="00EF7C0D">
      <w:r>
        <w:t>(</w:t>
      </w:r>
      <w:proofErr w:type="spellStart"/>
      <w:r>
        <w:t>cf</w:t>
      </w:r>
      <w:proofErr w:type="spellEnd"/>
      <w:r>
        <w:t>: P.L.2019, c.153, s.18)</w:t>
      </w:r>
    </w:p>
    <w:p w:rsidR="0024595F" w:rsidRPr="00D71D68" w:rsidRDefault="0024595F" w:rsidP="0024595F"/>
    <w:p w:rsidR="0024595F" w:rsidRPr="00AA7880" w:rsidRDefault="0024595F" w:rsidP="0024595F">
      <w:r>
        <w:tab/>
        <w:t>3.</w:t>
      </w:r>
      <w:r>
        <w:tab/>
        <w:t>This act shall take effect immediately.</w:t>
      </w:r>
    </w:p>
    <w:sectPr w:rsidR="0024595F" w:rsidRPr="00AA7880" w:rsidSect="005E5542">
      <w:headerReference w:type="default" r:id="rId13"/>
      <w:footerReference w:type="default" r:id="rId14"/>
      <w:headerReference w:type="first" r:id="rId15"/>
      <w:footerReference w:type="first" r:id="rId16"/>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69D" w:rsidRDefault="003E769D">
      <w:r>
        <w:separator/>
      </w:r>
    </w:p>
  </w:endnote>
  <w:endnote w:type="continuationSeparator" w:id="0">
    <w:p w:rsidR="003E769D" w:rsidRDefault="003E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FB5" w:rsidRPr="00921C91" w:rsidRDefault="00403F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3FB5" w:rsidRPr="00921C91" w:rsidRDefault="00403FB5">
    <w:pPr>
      <w:pStyle w:val="Footer"/>
      <w:rPr>
        <w:szCs w:val="18"/>
      </w:rPr>
    </w:pPr>
  </w:p>
  <w:p w:rsidR="00403FB5" w:rsidRPr="00921C91" w:rsidRDefault="00403F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3C1E" w:rsidRDefault="00003C1E">
    <w:pPr>
      <w:pStyle w:val="Footer"/>
    </w:pPr>
    <w:r>
      <w:tab/>
      <w:t>Matter enclosed in superscript numerals has been adopted as follows:</w:t>
    </w:r>
  </w:p>
  <w:p w:rsidR="00003C1E" w:rsidRDefault="00003C1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p w:rsidR="00003C1E" w:rsidRPr="00003C1E" w:rsidRDefault="00003C1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69D" w:rsidRDefault="003E769D">
      <w:r>
        <w:separator/>
      </w:r>
    </w:p>
  </w:footnote>
  <w:footnote w:type="continuationSeparator" w:id="0">
    <w:p w:rsidR="003E769D" w:rsidRDefault="003E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65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3FB5" w:rsidRDefault="00403FB5" w:rsidP="00403FB5">
    <w:pPr>
      <w:pStyle w:val="bpuHeadSpon"/>
    </w:pPr>
    <w:r w:rsidRPr="00403FB5">
      <w:rPr>
        <w:rStyle w:val="bpuHeadSponChar"/>
      </w:rPr>
      <w:t>S619</w:t>
    </w:r>
    <w:r>
      <w:t xml:space="preserve"> </w:t>
    </w:r>
    <w:r w:rsidR="00003C1E">
      <w:t xml:space="preserve">[1R] </w:t>
    </w:r>
    <w:r>
      <w:t>O'SCANLON</w:t>
    </w:r>
  </w:p>
  <w:p w:rsidR="00403FB5" w:rsidRDefault="00403FB5" w:rsidP="00403FB5">
    <w:pPr>
      <w:pStyle w:val="bpuHeadSpon"/>
    </w:pPr>
    <w:r>
      <w:fldChar w:fldCharType="begin"/>
    </w:r>
    <w:r>
      <w:instrText xml:space="preserve"> PAGE  \* MERGEFORMAT </w:instrText>
    </w:r>
    <w:r>
      <w:fldChar w:fldCharType="separate"/>
    </w:r>
    <w:r w:rsidR="001265D2">
      <w:rPr>
        <w:noProof/>
      </w:rPr>
      <w:t>5</w:t>
    </w:r>
    <w:r>
      <w:fldChar w:fldCharType="end"/>
    </w:r>
  </w:p>
  <w:p w:rsidR="00403FB5" w:rsidRPr="00AF575C" w:rsidRDefault="00403FB5" w:rsidP="00403F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3FB5" w:rsidRDefault="00403FB5" w:rsidP="00403FB5">
    <w:pPr>
      <w:pStyle w:val="bpuHeadSpon"/>
    </w:pPr>
    <w:r w:rsidRPr="00403FB5">
      <w:rPr>
        <w:rStyle w:val="bpuHeadSponChar"/>
      </w:rPr>
      <w:t>S619</w:t>
    </w:r>
    <w:r>
      <w:t xml:space="preserve"> </w:t>
    </w:r>
    <w:r w:rsidR="00003C1E">
      <w:t xml:space="preserve">[1R] </w:t>
    </w:r>
    <w:r>
      <w:t>O'SCANLON</w:t>
    </w:r>
  </w:p>
  <w:p w:rsidR="00403FB5" w:rsidRDefault="00403FB5" w:rsidP="00403FB5">
    <w:pPr>
      <w:pStyle w:val="bpuHeadSpon"/>
    </w:pPr>
    <w:r>
      <w:fldChar w:fldCharType="begin"/>
    </w:r>
    <w:r>
      <w:instrText xml:space="preserve"> PAGE  \* MERGEFORMAT </w:instrText>
    </w:r>
    <w:r>
      <w:fldChar w:fldCharType="separate"/>
    </w:r>
    <w:r w:rsidR="001265D2">
      <w:rPr>
        <w:noProof/>
      </w:rPr>
      <w:t>2</w:t>
    </w:r>
    <w:r>
      <w:fldChar w:fldCharType="end"/>
    </w:r>
  </w:p>
  <w:p w:rsidR="00403FB5" w:rsidRDefault="00403FB5" w:rsidP="00403F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69D"/>
    <w:rsid w:val="00000169"/>
    <w:rsid w:val="00003C1E"/>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5D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95F"/>
    <w:rsid w:val="002463CF"/>
    <w:rsid w:val="00253915"/>
    <w:rsid w:val="0026254F"/>
    <w:rsid w:val="00266FB9"/>
    <w:rsid w:val="00274341"/>
    <w:rsid w:val="0028159B"/>
    <w:rsid w:val="00293B75"/>
    <w:rsid w:val="00296363"/>
    <w:rsid w:val="002A16E7"/>
    <w:rsid w:val="002A71FA"/>
    <w:rsid w:val="002B2754"/>
    <w:rsid w:val="002B4DA4"/>
    <w:rsid w:val="002B67F7"/>
    <w:rsid w:val="002C58D4"/>
    <w:rsid w:val="002E1440"/>
    <w:rsid w:val="002E2980"/>
    <w:rsid w:val="00304565"/>
    <w:rsid w:val="00307F11"/>
    <w:rsid w:val="0031075B"/>
    <w:rsid w:val="00317C73"/>
    <w:rsid w:val="003212E6"/>
    <w:rsid w:val="00333EF1"/>
    <w:rsid w:val="00337DBB"/>
    <w:rsid w:val="003436D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69D"/>
    <w:rsid w:val="003E7B4E"/>
    <w:rsid w:val="003F145F"/>
    <w:rsid w:val="003F4A22"/>
    <w:rsid w:val="00403FB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542"/>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1B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776"/>
    <w:rsid w:val="006F4C44"/>
    <w:rsid w:val="006F652B"/>
    <w:rsid w:val="0070018A"/>
    <w:rsid w:val="00712CBE"/>
    <w:rsid w:val="00730582"/>
    <w:rsid w:val="00741A09"/>
    <w:rsid w:val="00750C37"/>
    <w:rsid w:val="00752616"/>
    <w:rsid w:val="0075577B"/>
    <w:rsid w:val="00757B3B"/>
    <w:rsid w:val="00762366"/>
    <w:rsid w:val="00763BE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ECA"/>
    <w:rsid w:val="00986E4C"/>
    <w:rsid w:val="009937ED"/>
    <w:rsid w:val="00993BCE"/>
    <w:rsid w:val="009A28BB"/>
    <w:rsid w:val="009A5E9B"/>
    <w:rsid w:val="009B0B5A"/>
    <w:rsid w:val="009B141C"/>
    <w:rsid w:val="009B5662"/>
    <w:rsid w:val="009C3EDF"/>
    <w:rsid w:val="009C6B9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866"/>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C0D"/>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901A8B-B232-4C63-B67D-9E1486F8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50C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C37"/>
    <w:rPr>
      <w:rFonts w:ascii="Segoe UI" w:hAnsi="Segoe UI" w:cs="Segoe UI"/>
      <w:spacing w:val="4"/>
      <w:sz w:val="18"/>
      <w:szCs w:val="18"/>
    </w:rPr>
  </w:style>
  <w:style w:type="character" w:styleId="LineNumber">
    <w:name w:val="line number"/>
    <w:basedOn w:val="DefaultParagraphFont"/>
    <w:semiHidden/>
    <w:unhideWhenUsed/>
    <w:rsid w:val="00403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855C6-94BC-44D1-B384-86B65E68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1732</Words>
  <Characters>9437</Characters>
  <Application>Microsoft Office Word</Application>
  <DocSecurity>0</DocSecurity>
  <Lines>211</Lines>
  <Paragraphs>42</Paragraphs>
  <ScaleCrop>false</ScaleCrop>
  <HeadingPairs>
    <vt:vector size="2" baseType="variant">
      <vt:variant>
        <vt:lpstr>Title</vt:lpstr>
      </vt:variant>
      <vt:variant>
        <vt:i4>1</vt:i4>
      </vt:variant>
    </vt:vector>
  </HeadingPairs>
  <TitlesOfParts>
    <vt:vector size="1" baseType="lpstr">
      <vt:lpstr>S619 1R</vt:lpstr>
    </vt:vector>
  </TitlesOfParts>
  <Manager>R225</Manager>
  <Company>OFFICE of LEGISLATIVE SERVICES</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S619 1R</dc:title>
  <dc:creator>Senator  O'SCANLON</dc:creator>
  <cp:keywords>S619|5|HS |259|122|219|!|0|</cp:keywords>
  <dc:description>PREFILED 2020_x000d_
Amended/TR 1/27/20</dc:description>
  <cp:lastModifiedBy>Siracusa, Nicole</cp:lastModifiedBy>
  <cp:revision>2</cp:revision>
  <cp:lastPrinted>2020-01-09T21:07:00Z</cp:lastPrinted>
  <dcterms:created xsi:type="dcterms:W3CDTF">2020-01-28T18:46:00Z</dcterms:created>
  <dcterms:modified xsi:type="dcterms:W3CDTF">2020-01-28T18:46:00Z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