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C1E" w:rsidRDefault="00887A3A" w:rsidP="00003C1E">
      <w:pPr>
        <w:pStyle w:val="bpuReprint"/>
      </w:pPr>
      <w:r>
        <w:t>[Third Reprint]</w:t>
      </w:r>
    </w:p>
    <w:p w:rsidR="00403FB5" w:rsidRDefault="00403FB5" w:rsidP="00403FB5">
      <w:pPr>
        <w:pStyle w:val="bpuBill"/>
      </w:pPr>
      <w:r>
        <w:t xml:space="preserve">SENATE, No. 619 </w:t>
      </w:r>
    </w:p>
    <w:p w:rsidR="00403FB5" w:rsidRPr="00403FB5" w:rsidRDefault="00403FB5" w:rsidP="00403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972282" r:id="rId8"/>
        </w:object>
      </w:r>
    </w:p>
    <w:p w:rsidR="00403FB5" w:rsidRDefault="00403FB5" w:rsidP="00403FB5">
      <w:pPr>
        <w:pStyle w:val="bpuState"/>
      </w:pPr>
      <w:r>
        <w:t>STATE OF NEW JERSEY</w:t>
      </w:r>
    </w:p>
    <w:p w:rsidR="00403FB5" w:rsidRDefault="00403FB5" w:rsidP="00403FB5">
      <w:pPr>
        <w:pStyle w:val="bpuLegislature"/>
      </w:pPr>
      <w:r>
        <w:t>219th LEGISLATURE</w:t>
      </w:r>
    </w:p>
    <w:p w:rsidR="00403FB5" w:rsidRDefault="00403FB5" w:rsidP="00403FB5">
      <w:pPr>
        <w:pStyle w:val="bpuWpGraphic"/>
      </w:pPr>
      <w:r>
        <w:object w:dxaOrig="8985" w:dyaOrig="255">
          <v:shape id="_x0000_i1026" type="#_x0000_t75" style="width:6in;height:12.1pt" o:ole="">
            <v:imagedata r:id="rId7" o:title=""/>
          </v:shape>
          <o:OLEObject Type="Embed" ProgID="WPWin6.1" ShapeID="_x0000_i1026" DrawAspect="Content" ObjectID="_1685972283" r:id="rId9"/>
        </w:object>
      </w:r>
    </w:p>
    <w:p w:rsidR="00403FB5" w:rsidRDefault="00403FB5" w:rsidP="00403FB5">
      <w:pPr>
        <w:pStyle w:val="bpuIntro"/>
      </w:pPr>
      <w:r>
        <w:t>PRE-FILED FOR INTRODUCTION IN THE 2020 SESSION</w:t>
      </w:r>
    </w:p>
    <w:p w:rsidR="00403FB5" w:rsidRDefault="00403FB5" w:rsidP="00403FB5">
      <w:pPr>
        <w:pStyle w:val="bpuIntro"/>
      </w:pPr>
    </w:p>
    <w:p w:rsidR="00403FB5" w:rsidRDefault="00403FB5" w:rsidP="00403FB5">
      <w:pPr>
        <w:pStyle w:val="bpuIntro"/>
        <w:sectPr w:rsidR="00403FB5" w:rsidSect="00FD26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03FB5" w:rsidRDefault="00403FB5" w:rsidP="00403FB5">
      <w:pPr>
        <w:pStyle w:val="bpuIntro"/>
      </w:pPr>
    </w:p>
    <w:p w:rsidR="00403FB5" w:rsidRDefault="00403FB5" w:rsidP="00403FB5">
      <w:pPr>
        <w:pStyle w:val="bpuSponsor"/>
      </w:pPr>
      <w:r>
        <w:t>Sponsored by:</w:t>
      </w:r>
    </w:p>
    <w:p w:rsidR="00403FB5" w:rsidRDefault="00403FB5" w:rsidP="00403FB5">
      <w:pPr>
        <w:pStyle w:val="bpuSponsor"/>
      </w:pPr>
      <w:r>
        <w:t>Senator  DECLAN J. O'SCANLON, JR.</w:t>
      </w:r>
    </w:p>
    <w:p w:rsidR="00403FB5" w:rsidRDefault="00403FB5" w:rsidP="00403FB5">
      <w:pPr>
        <w:pStyle w:val="bpuSponsor"/>
      </w:pPr>
      <w:r>
        <w:t>District 13 (Monmouth)</w:t>
      </w:r>
    </w:p>
    <w:p w:rsidR="00403FB5" w:rsidRDefault="00FD266D" w:rsidP="00FD266D">
      <w:pPr>
        <w:pStyle w:val="bpuSponsor"/>
      </w:pPr>
      <w:r>
        <w:t>Assemblywoman  PAMELA R. LAMPITT</w:t>
      </w:r>
    </w:p>
    <w:p w:rsidR="00FD266D" w:rsidRDefault="00FD266D" w:rsidP="00FD266D">
      <w:pPr>
        <w:pStyle w:val="bpuSponsor"/>
      </w:pPr>
      <w:r>
        <w:t>District 6 (Burlington and Camden)</w:t>
      </w:r>
    </w:p>
    <w:p w:rsidR="00FD266D" w:rsidRDefault="00FD266D" w:rsidP="00FD266D">
      <w:pPr>
        <w:pStyle w:val="bpuSponsor"/>
      </w:pPr>
      <w:r>
        <w:t>Assemblywoman  JOANN DOWNEY</w:t>
      </w:r>
    </w:p>
    <w:p w:rsidR="00FD266D" w:rsidRDefault="00FD266D" w:rsidP="00FD266D">
      <w:pPr>
        <w:pStyle w:val="bpuSponsor"/>
      </w:pPr>
      <w:r>
        <w:t>District 11 (Monmouth)</w:t>
      </w:r>
    </w:p>
    <w:p w:rsidR="00FD266D" w:rsidRPr="00FD266D" w:rsidRDefault="00FD266D" w:rsidP="00FD266D">
      <w:pPr>
        <w:pStyle w:val="bpuSponsor"/>
      </w:pPr>
    </w:p>
    <w:p w:rsidR="00403FB5" w:rsidRDefault="00FD266D" w:rsidP="00FD266D">
      <w:pPr>
        <w:pStyle w:val="bpuSponsor"/>
      </w:pPr>
      <w:r>
        <w:t>Co-Sponsored by:</w:t>
      </w:r>
    </w:p>
    <w:p w:rsidR="00FD266D" w:rsidRPr="00FD266D" w:rsidRDefault="00FD266D" w:rsidP="00FD266D">
      <w:pPr>
        <w:pStyle w:val="bpuSponsor"/>
      </w:pPr>
      <w:r w:rsidRPr="00FD266D">
        <w:t>Assemblywoman Jasey, Assemblyman Freiman and Assemblywoman Swain</w:t>
      </w:r>
    </w:p>
    <w:p w:rsidR="00403FB5" w:rsidRDefault="00403FB5" w:rsidP="00403FB5">
      <w:pPr>
        <w:pStyle w:val="bpuSponsor"/>
      </w:pPr>
    </w:p>
    <w:p w:rsidR="00FD266D" w:rsidRDefault="00FD266D" w:rsidP="00FD266D"/>
    <w:p w:rsidR="00FD266D" w:rsidRPr="00FD266D" w:rsidRDefault="00FD266D" w:rsidP="00FD266D"/>
    <w:p w:rsidR="00403FB5" w:rsidRDefault="00403FB5" w:rsidP="00403FB5">
      <w:pPr>
        <w:pStyle w:val="bpuSponsor"/>
      </w:pPr>
    </w:p>
    <w:p w:rsidR="00403FB5" w:rsidRDefault="00403FB5" w:rsidP="00403FB5">
      <w:pPr>
        <w:pStyle w:val="bpuSponsor"/>
      </w:pPr>
      <w:r>
        <w:t>SYNOPSIS</w:t>
      </w:r>
    </w:p>
    <w:p w:rsidR="00983ECA" w:rsidRPr="00666D8A" w:rsidRDefault="00403FB5" w:rsidP="00983ECA">
      <w:r>
        <w:tab/>
      </w:r>
      <w:r w:rsidR="00983ECA">
        <w:t>Permits use of telemedicine and telehealth to authorize patients for medical cannabis and to issue written instructions for dispensing medical cannabis.</w:t>
      </w:r>
    </w:p>
    <w:p w:rsidR="00403FB5" w:rsidRDefault="00403FB5" w:rsidP="00403FB5">
      <w:pPr>
        <w:pStyle w:val="bpuNormText"/>
      </w:pPr>
    </w:p>
    <w:p w:rsidR="00403FB5" w:rsidRDefault="00403FB5" w:rsidP="00403FB5">
      <w:pPr>
        <w:pStyle w:val="bpuSponsor"/>
      </w:pPr>
      <w:r>
        <w:t xml:space="preserve">CURRENT VERSION OF TEXT </w:t>
      </w:r>
    </w:p>
    <w:p w:rsidR="00403FB5" w:rsidRDefault="00887A3A" w:rsidP="00403FB5">
      <w:pPr>
        <w:pStyle w:val="bpuNormText"/>
      </w:pPr>
      <w:r>
        <w:tab/>
        <w:t>As amended on June 3, 2021 by the Senate pursuant to the Governor's recommendations.</w:t>
      </w:r>
    </w:p>
    <w:p w:rsidR="00403FB5" w:rsidRDefault="00403FB5" w:rsidP="00403F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03FB5" w:rsidRDefault="00403F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3FB5" w:rsidSect="00403FB5">
          <w:type w:val="continuous"/>
          <w:pgSz w:w="12240" w:h="20160" w:code="5"/>
          <w:pgMar w:top="2160" w:right="2275" w:bottom="1440" w:left="2275" w:header="72" w:footer="720" w:gutter="0"/>
          <w:pgNumType w:start="1"/>
          <w:cols w:space="720"/>
          <w:docGrid w:linePitch="360"/>
        </w:sectPr>
      </w:pPr>
    </w:p>
    <w:p w:rsidR="0024595F" w:rsidRPr="00677316" w:rsidRDefault="0024595F" w:rsidP="0024595F">
      <w:pPr>
        <w:pStyle w:val="HangingAnAct"/>
        <w:rPr>
          <w:rStyle w:val="HangingAnActChar"/>
        </w:rPr>
      </w:pPr>
      <w:r w:rsidRPr="0024595F">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24595F" w:rsidRPr="00D71D68" w:rsidRDefault="0024595F" w:rsidP="0024595F"/>
    <w:p w:rsidR="0024595F" w:rsidRPr="00AA7880" w:rsidRDefault="0024595F" w:rsidP="0024595F">
      <w:r>
        <w:tab/>
      </w:r>
      <w:r>
        <w:rPr>
          <w:rStyle w:val="BillHeading2"/>
        </w:rPr>
        <w:t xml:space="preserve">Be It Enacted </w:t>
      </w:r>
      <w:r>
        <w:rPr>
          <w:rStyle w:val="BillLanguage"/>
        </w:rPr>
        <w:t>by the Senate and General Assembly of the State of New Jersey:</w:t>
      </w:r>
    </w:p>
    <w:p w:rsidR="0024595F" w:rsidRDefault="0024595F" w:rsidP="0024595F"/>
    <w:p w:rsidR="00714295" w:rsidRDefault="00714295" w:rsidP="00714295">
      <w:pPr>
        <w:rPr>
          <w:spacing w:val="0"/>
        </w:rPr>
      </w:pPr>
      <w:r>
        <w:tab/>
        <w:t>1.</w:t>
      </w:r>
      <w:r>
        <w:tab/>
        <w:t xml:space="preserve">Section 5 of P.L.2019, c.153 (C.24:6I-5.1) is amended to read as follows:  </w:t>
      </w:r>
    </w:p>
    <w:p w:rsidR="00714295" w:rsidRDefault="00714295" w:rsidP="00714295">
      <w:r>
        <w:tab/>
        <w:t>5.</w:t>
      </w:r>
      <w:r>
        <w:tab/>
        <w:t>a.  A health care practitioner shall not be required to be listed publicly in any medical cannabis practitioner registry as a condition of authorizing patients for the medical use of cannabis.</w:t>
      </w:r>
    </w:p>
    <w:p w:rsidR="00714295" w:rsidRDefault="00714295" w:rsidP="00714295">
      <w:r>
        <w:tab/>
        <w:t>b.</w:t>
      </w:r>
      <w:r>
        <w:tab/>
        <w:t>No authorization for the medical use of cannabis may be issued by a health care practitioner to the practitioner's own self or to a member of the practitioner's immediate family.</w:t>
      </w:r>
    </w:p>
    <w:p w:rsidR="00714295" w:rsidRDefault="00714295" w:rsidP="00714295">
      <w:r>
        <w:tab/>
        <w:t>c.</w:t>
      </w:r>
      <w: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714295" w:rsidRDefault="00714295" w:rsidP="009D0A3E">
      <w:pPr>
        <w:rPr>
          <w:u w:val="single"/>
        </w:rPr>
      </w:pPr>
      <w:r>
        <w:tab/>
      </w:r>
      <w:r>
        <w:rPr>
          <w:u w:val="single"/>
        </w:rPr>
        <w:t>d.</w:t>
      </w:r>
      <w:r>
        <w:tab/>
      </w:r>
      <w:r>
        <w:rPr>
          <w:rFonts w:ascii="Albertus Extra Bold" w:hAnsi="Albertus Extra Bold"/>
          <w:b/>
          <w:vertAlign w:val="superscript"/>
        </w:rPr>
        <w:t>3</w:t>
      </w:r>
      <w:r>
        <w:rPr>
          <w:rFonts w:ascii="Albertus Extra Bold" w:hAnsi="Albertus Extra Bold"/>
          <w:b/>
        </w:rPr>
        <w:t>[</w:t>
      </w:r>
      <w:r>
        <w:rPr>
          <w:u w:val="single"/>
        </w:rPr>
        <w:t>For</w:t>
      </w:r>
      <w:r>
        <w:t xml:space="preserve"> </w:t>
      </w:r>
      <w:r>
        <w:rPr>
          <w:rFonts w:ascii="Albertus Extra Bold" w:hAnsi="Albertus Extra Bold"/>
          <w:b/>
          <w:vertAlign w:val="superscript"/>
        </w:rPr>
        <w:t>1</w:t>
      </w:r>
      <w:r>
        <w:rPr>
          <w:u w:val="single"/>
        </w:rPr>
        <w:t>a period of</w:t>
      </w:r>
      <w:r>
        <w:rPr>
          <w:rFonts w:ascii="Albertus Extra Bold" w:hAnsi="Albertus Extra Bold"/>
          <w:b/>
          <w:vertAlign w:val="superscript"/>
        </w:rPr>
        <w:t>1</w:t>
      </w:r>
      <w:r>
        <w:t xml:space="preserve"> </w:t>
      </w:r>
      <w:r>
        <w:rPr>
          <w:u w:val="single"/>
        </w:rPr>
        <w:t>270 days following the</w:t>
      </w:r>
      <w:r>
        <w:t xml:space="preserve"> </w:t>
      </w:r>
      <w:r>
        <w:rPr>
          <w:rFonts w:ascii="Albertus Extra Bold" w:hAnsi="Albertus Extra Bold"/>
          <w:b/>
          <w:vertAlign w:val="superscript"/>
        </w:rPr>
        <w:t>1</w:t>
      </w:r>
      <w:r>
        <w:rPr>
          <w:u w:val="single"/>
        </w:rPr>
        <w:t>effective</w:t>
      </w:r>
      <w:r>
        <w:rPr>
          <w:rFonts w:ascii="Albertus Extra Bold" w:hAnsi="Albertus Extra Bold"/>
          <w:b/>
          <w:vertAlign w:val="superscript"/>
        </w:rPr>
        <w:t>1</w:t>
      </w:r>
      <w:r>
        <w:t xml:space="preserve"> </w:t>
      </w:r>
      <w:r>
        <w:rPr>
          <w:u w:val="single"/>
        </w:rPr>
        <w:t>date of</w:t>
      </w:r>
      <w:r>
        <w:rPr>
          <w:rFonts w:ascii="Albertus Extra Bold" w:hAnsi="Albertus Extra Bold"/>
          <w:b/>
        </w:rPr>
        <w:t>]</w:t>
      </w:r>
      <w:r>
        <w:t xml:space="preserve"> </w:t>
      </w:r>
      <w:r>
        <w:rPr>
          <w:rFonts w:ascii="Albertus Extra Bold" w:hAnsi="Albertus Extra Bold"/>
          <w:b/>
          <w:vertAlign w:val="superscript"/>
        </w:rPr>
        <w:t>1</w:t>
      </w:r>
      <w:r>
        <w:rPr>
          <w:rFonts w:ascii="Albertus Extra Bold" w:hAnsi="Albertus Extra Bold"/>
          <w:b/>
        </w:rPr>
        <w:t>[</w:t>
      </w:r>
      <w:r>
        <w:rPr>
          <w:u w:val="single"/>
        </w:rPr>
        <w:t>enactment of</w:t>
      </w:r>
      <w:r>
        <w:rPr>
          <w:rFonts w:ascii="Albertus Extra Bold" w:hAnsi="Albertus Extra Bold"/>
          <w:b/>
        </w:rPr>
        <w:t>]</w:t>
      </w:r>
      <w:r>
        <w:rPr>
          <w:rFonts w:ascii="Albertus Extra Bold" w:hAnsi="Albertus Extra Bold"/>
          <w:b/>
          <w:vertAlign w:val="superscript"/>
        </w:rPr>
        <w:t>1</w:t>
      </w:r>
      <w:r>
        <w:t xml:space="preserve"> </w:t>
      </w:r>
      <w:r>
        <w:rPr>
          <w:u w:val="single"/>
        </w:rPr>
        <w:t xml:space="preserve">P.L.    , c.   (C.        ) (pending before the Legislature as this bill), a health care practitioner may authorize a patient who is a </w:t>
      </w:r>
      <w:r>
        <w:rPr>
          <w:rFonts w:ascii="Albertus Extra Bold" w:hAnsi="Albertus Extra Bold"/>
          <w:b/>
          <w:vertAlign w:val="superscript"/>
        </w:rPr>
        <w:t>1</w:t>
      </w:r>
      <w:r>
        <w:rPr>
          <w:rFonts w:ascii="Albertus Extra Bold" w:hAnsi="Albertus Extra Bold"/>
          <w:b/>
        </w:rPr>
        <w:t>[</w:t>
      </w:r>
      <w:r>
        <w:rPr>
          <w:u w:val="single"/>
        </w:rPr>
        <w:t>child,</w:t>
      </w:r>
      <w:r>
        <w:rPr>
          <w:rFonts w:ascii="Albertus Extra Bold" w:hAnsi="Albertus Extra Bold"/>
          <w:b/>
        </w:rPr>
        <w:t>]</w:t>
      </w:r>
      <w:r>
        <w:rPr>
          <w:rFonts w:ascii="Albertus Extra Bold" w:hAnsi="Albertus Extra Bold"/>
          <w:b/>
          <w:vertAlign w:val="superscript"/>
        </w:rPr>
        <w:t>1</w:t>
      </w:r>
      <w:r>
        <w:t xml:space="preserve"> </w:t>
      </w:r>
      <w:r>
        <w:rPr>
          <w:u w:val="single"/>
        </w:rPr>
        <w:t>resident of a long-term care facility,</w:t>
      </w:r>
      <w:r>
        <w:t xml:space="preserve"> </w:t>
      </w:r>
      <w:r>
        <w:rPr>
          <w:rFonts w:ascii="Albertus Extra Bold" w:hAnsi="Albertus Extra Bold"/>
          <w:b/>
          <w:vertAlign w:val="superscript"/>
        </w:rPr>
        <w:t>1</w:t>
      </w:r>
      <w:r>
        <w:rPr>
          <w:rFonts w:ascii="Albertus Extra Bold" w:hAnsi="Albertus Extra Bold"/>
          <w:b/>
        </w:rPr>
        <w:t>[</w:t>
      </w:r>
      <w:r>
        <w:rPr>
          <w:u w:val="single"/>
        </w:rPr>
        <w:t>developmentally disabled</w:t>
      </w:r>
      <w:r>
        <w:rPr>
          <w:rFonts w:ascii="Albertus Extra Bold" w:hAnsi="Albertus Extra Bold"/>
          <w:b/>
        </w:rPr>
        <w:t>]</w:t>
      </w:r>
      <w:r>
        <w:t xml:space="preserve"> </w:t>
      </w:r>
      <w:r>
        <w:rPr>
          <w:u w:val="single"/>
        </w:rPr>
        <w:t>has a developmental disability</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terminally ill,</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receiving hospice care</w:t>
      </w:r>
      <w:r>
        <w:t xml:space="preserve"> </w:t>
      </w:r>
      <w:r>
        <w:rPr>
          <w:rFonts w:ascii="Albertus Extra Bold" w:hAnsi="Albertus Extra Bold"/>
          <w:b/>
          <w:vertAlign w:val="superscript"/>
        </w:rPr>
        <w:t>1</w:t>
      </w:r>
      <w:r>
        <w:rPr>
          <w:u w:val="single"/>
        </w:rPr>
        <w:t>through a licensed hospice care provider</w:t>
      </w:r>
      <w:r>
        <w:rPr>
          <w:rFonts w:ascii="Albertus Extra Bold" w:hAnsi="Albertus Extra Bold"/>
          <w:b/>
          <w:vertAlign w:val="superscript"/>
        </w:rPr>
        <w:t>1</w:t>
      </w:r>
      <w:r>
        <w:t xml:space="preserve"> </w:t>
      </w:r>
      <w:r>
        <w:rPr>
          <w:u w:val="single"/>
        </w:rPr>
        <w:t>, or</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housebound as certified by the patient’s physician, for the medical use of cannabis</w:t>
      </w:r>
      <w:r>
        <w:t xml:space="preserve"> </w:t>
      </w:r>
      <w:r>
        <w:rPr>
          <w:rFonts w:ascii="Albertus Extra Bold" w:hAnsi="Albertus Extra Bold"/>
          <w:b/>
          <w:vertAlign w:val="superscript"/>
        </w:rPr>
        <w:t>1</w:t>
      </w:r>
      <w:r>
        <w:rPr>
          <w:rFonts w:ascii="Albertus Extra Bold" w:hAnsi="Albertus Extra Bold"/>
          <w:b/>
        </w:rPr>
        <w:t>[</w:t>
      </w:r>
      <w:r>
        <w:rPr>
          <w:u w:val="single"/>
        </w:rPr>
        <w:t>in the course of the health care practitioner’s practice of</w:t>
      </w:r>
      <w:r>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Pr>
          <w:u w:val="single"/>
        </w:rPr>
        <w:t>telemedicine or telehealth.</w:t>
      </w:r>
      <w:r>
        <w:t xml:space="preserve">  </w:t>
      </w:r>
      <w:r>
        <w:rPr>
          <w:rFonts w:ascii="Albertus Extra Bold" w:hAnsi="Albertus Extra Bold"/>
          <w:b/>
          <w:vertAlign w:val="superscript"/>
        </w:rPr>
        <w:t>1</w:t>
      </w:r>
      <w:r>
        <w:rPr>
          <w:rFonts w:ascii="Albertus Extra Bold" w:hAnsi="Albertus Extra Bold"/>
          <w:b/>
        </w:rPr>
        <w:t>[</w:t>
      </w:r>
      <w:r>
        <w:rPr>
          <w:u w:val="single"/>
        </w:rPr>
        <w:t>Following the 270 day period after the date of enactment of P.L.    , c.   (C.        ) (pending before the Legislature as this bill)</w:t>
      </w:r>
      <w:r>
        <w:rPr>
          <w:rFonts w:ascii="Albertus Extra Bold" w:hAnsi="Albertus Extra Bold"/>
          <w:b/>
        </w:rPr>
        <w:t>]</w:t>
      </w:r>
      <w:r>
        <w:t xml:space="preserve"> </w:t>
      </w:r>
      <w:r>
        <w:rPr>
          <w:u w:val="single"/>
        </w:rPr>
        <w:t>Thereafter,</w:t>
      </w:r>
      <w:r>
        <w:rPr>
          <w:rFonts w:ascii="Albertus Extra Bold" w:hAnsi="Albertus Extra Bold"/>
          <w:b/>
          <w:vertAlign w:val="superscript"/>
        </w:rPr>
        <w:t>1</w:t>
      </w:r>
      <w:r>
        <w:t xml:space="preserve"> </w:t>
      </w:r>
      <w:r>
        <w:rPr>
          <w:u w:val="single"/>
        </w:rPr>
        <w:t>a health care practitioner may</w:t>
      </w:r>
      <w:r>
        <w:t xml:space="preserve"> </w:t>
      </w:r>
      <w:r>
        <w:rPr>
          <w:rFonts w:ascii="Albertus Extra Bold" w:hAnsi="Albertus Extra Bold"/>
          <w:b/>
          <w:vertAlign w:val="superscript"/>
        </w:rPr>
        <w:t>2</w:t>
      </w:r>
      <w:r>
        <w:rPr>
          <w:u w:val="single"/>
        </w:rPr>
        <w:t>initially</w:t>
      </w:r>
      <w:r>
        <w:rPr>
          <w:rFonts w:ascii="Albertus Extra Bold" w:hAnsi="Albertus Extra Bold"/>
          <w:b/>
          <w:vertAlign w:val="superscript"/>
        </w:rPr>
        <w:t>2</w:t>
      </w:r>
      <w:r>
        <w:t xml:space="preserve"> </w:t>
      </w:r>
      <w:r>
        <w:rPr>
          <w:u w:val="single"/>
        </w:rPr>
        <w:t>authorize any patient for the medical use of cannabis</w:t>
      </w:r>
      <w:r>
        <w:t xml:space="preserve"> </w:t>
      </w:r>
      <w:r>
        <w:rPr>
          <w:rFonts w:ascii="Albertus Extra Bold" w:hAnsi="Albertus Extra Bold"/>
          <w:b/>
          <w:vertAlign w:val="superscript"/>
        </w:rPr>
        <w:t>1</w:t>
      </w:r>
      <w:r>
        <w:rPr>
          <w:rFonts w:ascii="Albertus Extra Bold" w:hAnsi="Albertus Extra Bold"/>
          <w:b/>
        </w:rPr>
        <w:t>[</w:t>
      </w:r>
      <w:r>
        <w:rPr>
          <w:u w:val="single"/>
        </w:rPr>
        <w:t>in the course of the health care practitioner’s practice of</w:t>
      </w:r>
      <w:r>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Pr>
          <w:u w:val="single"/>
        </w:rPr>
        <w:t>telemedicine or telehealth, provided that, and except in the case of a patient who is a</w:t>
      </w:r>
      <w:r>
        <w:rPr>
          <w:rFonts w:ascii="Albertus Extra Bold" w:hAnsi="Albertus Extra Bold"/>
          <w:b/>
          <w:vertAlign w:val="superscript"/>
        </w:rPr>
        <w:t xml:space="preserve"> 1</w:t>
      </w:r>
      <w:r>
        <w:rPr>
          <w:rFonts w:ascii="Albertus Extra Bold" w:hAnsi="Albertus Extra Bold"/>
          <w:b/>
        </w:rPr>
        <w:t>[</w:t>
      </w:r>
      <w:r>
        <w:rPr>
          <w:u w:val="single"/>
        </w:rPr>
        <w:t>child, developmentally disabled</w:t>
      </w:r>
      <w:r>
        <w:rPr>
          <w:rFonts w:ascii="Albertus Extra Bold" w:hAnsi="Albertus Extra Bold"/>
          <w:b/>
        </w:rPr>
        <w:t>]</w:t>
      </w:r>
      <w:r>
        <w:t xml:space="preserve"> </w:t>
      </w:r>
      <w:r>
        <w:rPr>
          <w:u w:val="single"/>
        </w:rPr>
        <w:t>resident of a long-term care facility, has a developmental disability</w:t>
      </w:r>
      <w:r>
        <w:rPr>
          <w:rFonts w:ascii="Albertus Extra Bold" w:hAnsi="Albertus Extra Bold"/>
          <w:b/>
          <w:vertAlign w:val="superscript"/>
        </w:rPr>
        <w:t>1</w:t>
      </w:r>
      <w:r>
        <w:t xml:space="preserve"> </w:t>
      </w:r>
      <w:r>
        <w:rPr>
          <w:u w:val="single"/>
        </w:rPr>
        <w:t>,</w:t>
      </w:r>
      <w:r>
        <w:t xml:space="preserve"> </w:t>
      </w:r>
      <w:bookmarkStart w:id="0" w:name="_GoBack"/>
      <w:bookmarkEnd w:id="0"/>
      <w:r w:rsidR="009D0A3E">
        <w:br w:type="page"/>
      </w:r>
      <w:r>
        <w:rPr>
          <w:rFonts w:ascii="Albertus Extra Bold" w:hAnsi="Albertus Extra Bold"/>
          <w:b/>
          <w:vertAlign w:val="superscript"/>
        </w:rPr>
        <w:lastRenderedPageBreak/>
        <w:t>1</w:t>
      </w:r>
      <w:r>
        <w:rPr>
          <w:u w:val="single"/>
        </w:rPr>
        <w:t>is</w:t>
      </w:r>
      <w:r>
        <w:rPr>
          <w:rFonts w:ascii="Albertus Extra Bold" w:hAnsi="Albertus Extra Bold"/>
          <w:b/>
          <w:vertAlign w:val="superscript"/>
        </w:rPr>
        <w:t>1</w:t>
      </w:r>
      <w:r>
        <w:rPr>
          <w:u w:val="single"/>
        </w:rPr>
        <w:t>terminally ill,</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receiving hospice care</w:t>
      </w:r>
      <w:r>
        <w:t xml:space="preserve"> </w:t>
      </w:r>
      <w:r>
        <w:rPr>
          <w:rFonts w:ascii="Albertus Extra Bold" w:hAnsi="Albertus Extra Bold"/>
          <w:b/>
          <w:vertAlign w:val="superscript"/>
        </w:rPr>
        <w:t>1</w:t>
      </w:r>
      <w:r>
        <w:rPr>
          <w:u w:val="single"/>
        </w:rPr>
        <w:t>from a licensed hospice care provider</w:t>
      </w:r>
      <w:r>
        <w:rPr>
          <w:rFonts w:ascii="Albertus Extra Bold" w:hAnsi="Albertus Extra Bold"/>
          <w:b/>
          <w:vertAlign w:val="superscript"/>
        </w:rPr>
        <w:t>1</w:t>
      </w:r>
      <w:r>
        <w:t xml:space="preserve"> </w:t>
      </w:r>
      <w:r>
        <w:rPr>
          <w:u w:val="single"/>
        </w:rPr>
        <w:t>, or</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housebound</w:t>
      </w:r>
      <w:r>
        <w:t xml:space="preserve"> </w:t>
      </w:r>
      <w:r>
        <w:rPr>
          <w:rFonts w:ascii="Albertus Extra Bold" w:hAnsi="Albertus Extra Bold"/>
          <w:b/>
          <w:vertAlign w:val="superscript"/>
        </w:rPr>
        <w:t>1</w:t>
      </w:r>
      <w:r>
        <w:rPr>
          <w:u w:val="single"/>
        </w:rPr>
        <w:t>as certified by the patient’s physician</w:t>
      </w:r>
      <w:r>
        <w:rPr>
          <w:rFonts w:ascii="Albertus Extra Bold" w:hAnsi="Albertus Extra Bold"/>
          <w:b/>
          <w:vertAlign w:val="superscript"/>
        </w:rPr>
        <w:t>1</w:t>
      </w:r>
      <w:r>
        <w:rPr>
          <w:u w:val="single"/>
        </w:rPr>
        <w:t>, the patient has had at least one previous in-office</w:t>
      </w:r>
      <w:r>
        <w:t xml:space="preserve"> </w:t>
      </w:r>
      <w:r>
        <w:rPr>
          <w:rFonts w:ascii="Albertus Extra Bold" w:hAnsi="Albertus Extra Bold"/>
          <w:b/>
          <w:vertAlign w:val="superscript"/>
        </w:rPr>
        <w:t>1</w:t>
      </w:r>
      <w:r>
        <w:rPr>
          <w:rFonts w:ascii="Albertus Extra Bold" w:hAnsi="Albertus Extra Bold"/>
          <w:b/>
        </w:rPr>
        <w:t>[</w:t>
      </w:r>
      <w:r>
        <w:rPr>
          <w:u w:val="single"/>
        </w:rPr>
        <w:t>visit</w:t>
      </w:r>
      <w:r>
        <w:rPr>
          <w:rFonts w:ascii="Albertus Extra Bold" w:hAnsi="Albertus Extra Bold"/>
          <w:b/>
        </w:rPr>
        <w:t>]</w:t>
      </w:r>
      <w:r>
        <w:t xml:space="preserve"> </w:t>
      </w:r>
      <w:r>
        <w:rPr>
          <w:u w:val="single"/>
        </w:rPr>
        <w:t>consultation</w:t>
      </w:r>
      <w:r>
        <w:rPr>
          <w:rFonts w:ascii="Albertus Extra Bold" w:hAnsi="Albertus Extra Bold"/>
          <w:b/>
          <w:vertAlign w:val="superscript"/>
        </w:rPr>
        <w:t>1</w:t>
      </w:r>
      <w:r>
        <w:t xml:space="preserve"> </w:t>
      </w:r>
      <w:r>
        <w:rPr>
          <w:u w:val="single"/>
        </w:rPr>
        <w:t>with the health care practitioner prior to the</w:t>
      </w:r>
      <w:r>
        <w:t xml:space="preserve"> </w:t>
      </w:r>
      <w:r>
        <w:rPr>
          <w:rFonts w:ascii="Albertus Extra Bold" w:hAnsi="Albertus Extra Bold"/>
          <w:b/>
          <w:vertAlign w:val="superscript"/>
        </w:rPr>
        <w:t>1</w:t>
      </w:r>
      <w:r>
        <w:rPr>
          <w:rFonts w:ascii="Albertus Extra Bold" w:hAnsi="Albertus Extra Bold"/>
          <w:b/>
        </w:rPr>
        <w:t>[</w:t>
      </w:r>
      <w:r>
        <w:rPr>
          <w:u w:val="single"/>
        </w:rPr>
        <w:t>patient’s authorization</w:t>
      </w:r>
      <w:r>
        <w:rPr>
          <w:rFonts w:ascii="Albertus Extra Bold" w:hAnsi="Albertus Extra Bold"/>
          <w:b/>
        </w:rPr>
        <w:t>]</w:t>
      </w:r>
      <w:r>
        <w:t xml:space="preserve"> </w:t>
      </w:r>
      <w:r>
        <w:rPr>
          <w:u w:val="single"/>
        </w:rPr>
        <w:t>practitioner authorizing the patient</w:t>
      </w:r>
      <w:r>
        <w:rPr>
          <w:rFonts w:ascii="Albertus Extra Bold" w:hAnsi="Albertus Extra Bold"/>
          <w:b/>
          <w:vertAlign w:val="superscript"/>
        </w:rPr>
        <w:t>1</w:t>
      </w:r>
      <w:r>
        <w:t xml:space="preserve"> </w:t>
      </w:r>
      <w:r>
        <w:rPr>
          <w:u w:val="single"/>
        </w:rPr>
        <w:t>for the medical use of cannabis</w:t>
      </w:r>
      <w:r>
        <w:t xml:space="preserve"> </w:t>
      </w:r>
      <w:r>
        <w:rPr>
          <w:rFonts w:ascii="Albertus Extra Bold" w:hAnsi="Albertus Extra Bold"/>
          <w:b/>
          <w:vertAlign w:val="superscript"/>
        </w:rPr>
        <w:t>1</w:t>
      </w:r>
      <w:r>
        <w:rPr>
          <w:u w:val="single"/>
        </w:rPr>
        <w:t>using telemedicine or telehealth</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2</w:t>
      </w:r>
      <w:r>
        <w:rPr>
          <w:u w:val="single"/>
        </w:rPr>
        <w:t>Following the initial authorization, the patient shall have at least one in-office consultation with the practitioner on an annual basis in order for the patient to receive continued authorization for the use of medical cannabis.  The practitioner may require more frequent in-office consultations if additional consultations are necessary to continue to authorize the patient’s use of medical cannabis.</w:t>
      </w:r>
      <w:r>
        <w:rPr>
          <w:rFonts w:ascii="Albertus Extra Bold" w:hAnsi="Albertus Extra Bold"/>
          <w:b/>
          <w:vertAlign w:val="superscript"/>
        </w:rPr>
        <w:t>2</w:t>
      </w:r>
      <w:r>
        <w:rPr>
          <w:rFonts w:ascii="Albertus Extra Bold" w:hAnsi="Albertus Extra Bold"/>
          <w:b/>
        </w:rPr>
        <w:t>]</w:t>
      </w:r>
      <w:r>
        <w:t xml:space="preserve"> </w:t>
      </w:r>
      <w:r>
        <w:rPr>
          <w:u w:val="single"/>
        </w:rPr>
        <w:t>A health care practitioner may initially authorize any qualifying patient for the medical use of cannabis using telemedicine or telehealth, provided that the use of telemedicine or telehealth, rather than an in-person visit, is consistent with the standard of care required for assessment and treatment of the patient’s condition.  Following the initial authorization, the practitioner may provide continued authorization for the use of medical cannabis via telemedicine or telehealth if the practitioner determines that an in-person visit is not required, consistent with the standard of care.  The practitioner may require in-office consultations if additional consultations are necessary to continue to authorize the patient’s use of medical cannabis.</w:t>
      </w:r>
      <w:r>
        <w:rPr>
          <w:rFonts w:ascii="Albertus Extra Bold" w:hAnsi="Albertus Extra Bold"/>
          <w:b/>
          <w:vertAlign w:val="superscript"/>
        </w:rPr>
        <w:t>3</w:t>
      </w:r>
    </w:p>
    <w:p w:rsidR="00714295" w:rsidRDefault="00714295" w:rsidP="00714295">
      <w:r>
        <w:tab/>
      </w:r>
      <w:r>
        <w:rPr>
          <w:u w:val="single"/>
        </w:rPr>
        <w:t>As used in this subsection, “telehealth” and “telemedicine” shall have the same meaning as is provided in section 1 of P.L.2017, c.117 (C.45:1-61).</w:t>
      </w:r>
    </w:p>
    <w:p w:rsidR="005F6B81" w:rsidRPr="005F6B81" w:rsidRDefault="00714295" w:rsidP="007142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(cf:  P.L.2019, c.153, s.5)</w:t>
      </w:r>
    </w:p>
    <w:p w:rsidR="0024595F" w:rsidRDefault="0024595F" w:rsidP="0024595F"/>
    <w:p w:rsidR="00EF7C0D" w:rsidRDefault="00EF7C0D" w:rsidP="00EF7C0D">
      <w:r>
        <w:tab/>
        <w:t>2.</w:t>
      </w:r>
      <w:r>
        <w:tab/>
        <w:t xml:space="preserve">Section 10 of P.L.2009, c.307 (C.24:6I-10) is amended to read as follows:  </w:t>
      </w:r>
    </w:p>
    <w:p w:rsidR="00EF7C0D" w:rsidRDefault="00EF7C0D" w:rsidP="005F6B81">
      <w:pPr>
        <w:tabs>
          <w:tab w:val="clear" w:pos="720"/>
          <w:tab w:val="left" w:pos="810"/>
        </w:tabs>
      </w:pPr>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EF7C0D" w:rsidRDefault="00EF7C0D" w:rsidP="00EF7C0D">
      <w:r>
        <w:tab/>
        <w:t>b.</w:t>
      </w:r>
      <w:r>
        <w:tab/>
        <w:t>A health care practitioner may issue multiple written instructions at one time authorizing the patient to receive a total of up to a one-year supply, provided that the following conditions are met:</w:t>
      </w:r>
    </w:p>
    <w:p w:rsidR="00EF7C0D" w:rsidRDefault="00EF7C0D" w:rsidP="00EF7C0D">
      <w:r>
        <w:tab/>
        <w:t>(1)</w:t>
      </w:r>
      <w:r>
        <w:tab/>
        <w:t>Each separate set of instructions shall be issued for a legitimate medical purpose by the health care practitioner, as provided in P.L.2009, c.307 (C.24:6I-1 et al.);</w:t>
      </w:r>
    </w:p>
    <w:p w:rsidR="00EF7C0D" w:rsidRDefault="00EF7C0D" w:rsidP="00EF7C0D">
      <w:r>
        <w:lastRenderedPageBreak/>
        <w:tab/>
        <w:t>(2)</w:t>
      </w:r>
      <w:r>
        <w:tab/>
        <w:t>Each separate set of instructions shall indicate the earliest date on which a dispensary or clinical registrant may dispense the cannabis, except for the first dispensation if it is to be filled immediately; and</w:t>
      </w:r>
    </w:p>
    <w:p w:rsidR="00EF7C0D" w:rsidRDefault="00EF7C0D" w:rsidP="00EF7C0D">
      <w:r>
        <w:tab/>
        <w:t>(3)</w:t>
      </w:r>
      <w:r>
        <w:tab/>
        <w:t>The health care practitioner has determined that providing the patient with multiple instructions in this manner does not create an undue risk of diversion or abuse.</w:t>
      </w:r>
    </w:p>
    <w:p w:rsidR="00EF7C0D" w:rsidRDefault="00EF7C0D" w:rsidP="00EF7C0D">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w:t>
      </w:r>
      <w:r>
        <w:rPr>
          <w:u w:val="single"/>
        </w:rPr>
        <w:t>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Pr>
          <w:u w:val="single"/>
        </w:rPr>
        <w:t>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EF7C0D" w:rsidRDefault="00EF7C0D" w:rsidP="00EF7C0D">
      <w:r>
        <w:tab/>
        <w:t>d.</w:t>
      </w:r>
      <w:r>
        <w:tab/>
        <w:t>(Deleted by amendment, P.L.2019, c.153)</w:t>
      </w:r>
    </w:p>
    <w:p w:rsidR="00EF7C0D" w:rsidRDefault="00EF7C0D" w:rsidP="00EF7C0D">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EF7C0D" w:rsidRDefault="00EF7C0D" w:rsidP="00EF7C0D">
      <w:r>
        <w:tab/>
        <w:t>f.</w:t>
      </w:r>
      <w:r>
        <w:tab/>
        <w:t>(1)</w:t>
      </w:r>
      <w:r w:rsidR="00337DBB">
        <w:t xml:space="preserve"> </w:t>
      </w:r>
      <w:r>
        <w:t xml:space="preserve">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w:t>
      </w:r>
      <w:r>
        <w:lastRenderedPageBreak/>
        <w:t xml:space="preserve">cannabis that a patient may be dispensed shall be prescribed by the commission by regulation.  </w:t>
      </w:r>
    </w:p>
    <w:p w:rsidR="00EF7C0D" w:rsidRDefault="00EF7C0D" w:rsidP="00EF7C0D">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EF7C0D" w:rsidRDefault="00EF7C0D" w:rsidP="00EF7C0D">
      <w:r>
        <w:tab/>
        <w:t>g.</w:t>
      </w:r>
      <w:r>
        <w:tab/>
        <w:t>The commission shall establish, by regulation, curricula for health care practitioners and for staff at medical cannabis dispensaries and clinical registrants:</w:t>
      </w:r>
    </w:p>
    <w:p w:rsidR="00EF7C0D" w:rsidRDefault="00EF7C0D" w:rsidP="00EF7C0D">
      <w:r>
        <w:tab/>
        <w:t>(1)</w:t>
      </w:r>
      <w:r>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EF7C0D" w:rsidRDefault="00EF7C0D" w:rsidP="00EF7C0D">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EF7C0D" w:rsidRDefault="00EF7C0D" w:rsidP="00EF7C0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EF7C0D" w:rsidRDefault="00EF7C0D" w:rsidP="00EF7C0D">
      <w:r>
        <w:tab/>
        <w:t>Commencing July 1, 2021, the amount of the sales tax that may be imposed under the "Sales and Use Tax Act," P.L.1966, c.30 (C.54:32B-1 et seq.) on medical cannabis dispensed by a medical cannabis dispensary or clinical registrant shall not exceed two percent.</w:t>
      </w:r>
    </w:p>
    <w:p w:rsidR="00EF7C0D" w:rsidRDefault="00EF7C0D" w:rsidP="00EF7C0D">
      <w:r>
        <w:tab/>
        <w:t>Commencing July 1, 2022, medical cannabis dispensed by a medical cannabis dispensary or clinical registrant shall not be subject to any tax imposed under the "Sales and Use Tax Act," P.L.1966, c.30 (C.54:32B-1 et seq.).</w:t>
      </w:r>
    </w:p>
    <w:p w:rsidR="00EF7C0D" w:rsidRDefault="00EF7C0D" w:rsidP="00EF7C0D">
      <w:r>
        <w:lastRenderedPageBreak/>
        <w:tab/>
        <w:t>Any revenue collected pursuant to a tax imposed on the sale of medical cannabis under the "Sales and Use Tax Act," P.L.1966, c.30 (C.54:32B-1 et seq.), shall be exclusively appropriated to programs for the treatment of mental health and substance use disorders.</w:t>
      </w:r>
    </w:p>
    <w:p w:rsidR="00EF7C0D" w:rsidRDefault="00EF7C0D" w:rsidP="00EF7C0D">
      <w:r>
        <w:tab/>
      </w:r>
      <w:proofErr w:type="spellStart"/>
      <w:r>
        <w:t>i</w:t>
      </w:r>
      <w:proofErr w:type="spellEnd"/>
      <w:r>
        <w:t>.</w:t>
      </w:r>
      <w:r>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EF7C0D" w:rsidRDefault="00EF7C0D" w:rsidP="00EF7C0D">
      <w:r>
        <w:t>(cf: P.L.2019, c.153, s.18)</w:t>
      </w:r>
    </w:p>
    <w:p w:rsidR="0024595F" w:rsidRPr="00D71D68" w:rsidRDefault="0024595F" w:rsidP="0024595F"/>
    <w:p w:rsidR="0024595F" w:rsidRPr="00AA7880" w:rsidRDefault="0024595F" w:rsidP="0024595F">
      <w:r>
        <w:tab/>
        <w:t>3.</w:t>
      </w:r>
      <w:r>
        <w:tab/>
        <w:t>This act shall take effect immediately.</w:t>
      </w:r>
    </w:p>
    <w:sectPr w:rsidR="0024595F" w:rsidRPr="00AA7880" w:rsidSect="00887A3A">
      <w:headerReference w:type="default" r:id="rId14"/>
      <w:footerReference w:type="default" r:id="rId15"/>
      <w:headerReference w:type="first" r:id="rId16"/>
      <w:footerReference w:type="first" r:id="rId17"/>
      <w:pgSz w:w="12240" w:h="20160" w:code="5"/>
      <w:pgMar w:top="1440" w:right="2520" w:bottom="1728" w:left="2880" w:header="1181" w:footer="3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66D" w:rsidRDefault="00FD266D" w:rsidP="00FD266D">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B5" w:rsidRPr="00921C91" w:rsidRDefault="00403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3FB5" w:rsidRPr="00921C91" w:rsidRDefault="00403FB5">
    <w:pPr>
      <w:pStyle w:val="Footer"/>
      <w:rPr>
        <w:szCs w:val="18"/>
      </w:rPr>
    </w:pPr>
  </w:p>
  <w:p w:rsidR="00403FB5" w:rsidRPr="00921C91" w:rsidRDefault="00403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3C1E" w:rsidRDefault="00003C1E">
    <w:pPr>
      <w:pStyle w:val="Footer"/>
    </w:pPr>
    <w:r>
      <w:tab/>
      <w:t>Matter enclosed in superscript numerals has been adopted as follows:</w:t>
    </w:r>
  </w:p>
  <w:p w:rsidR="00003C1E" w:rsidRDefault="00003C1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887A3A" w:rsidRDefault="005F6B8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5, 2020.</w:t>
    </w:r>
  </w:p>
  <w:p w:rsidR="00887A3A" w:rsidRDefault="00887A3A">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amendments adopted in accordance with Governor's</w:t>
    </w:r>
  </w:p>
  <w:p w:rsidR="00003C1E" w:rsidRDefault="00887A3A">
    <w:pPr>
      <w:pStyle w:val="Footer"/>
      <w:rPr>
        <w:rFonts w:ascii="AlbertusExtraBold" w:hAnsi="AlbertusExtraBold"/>
      </w:rPr>
    </w:pPr>
    <w:r>
      <w:rPr>
        <w:rFonts w:ascii="AlbertusExtraBold" w:hAnsi="AlbertusExtraBold"/>
      </w:rPr>
      <w:tab/>
      <w:t>recommendations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26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3FB5" w:rsidRDefault="00403FB5" w:rsidP="00403FB5">
    <w:pPr>
      <w:pStyle w:val="bpuHeadSpon"/>
    </w:pPr>
    <w:r w:rsidRPr="00403FB5">
      <w:rPr>
        <w:rStyle w:val="bpuHeadSponChar"/>
      </w:rPr>
      <w:t>S619</w:t>
    </w:r>
    <w:r>
      <w:t xml:space="preserve"> </w:t>
    </w:r>
    <w:r w:rsidR="00887A3A">
      <w:t>[3R]</w:t>
    </w:r>
    <w:r w:rsidR="00003C1E">
      <w:t xml:space="preserve"> </w:t>
    </w:r>
    <w:r>
      <w:t>O'SCANLON</w:t>
    </w:r>
  </w:p>
  <w:p w:rsidR="00403FB5" w:rsidRDefault="00403FB5" w:rsidP="00403FB5">
    <w:pPr>
      <w:pStyle w:val="bpuHeadSpon"/>
    </w:pPr>
    <w:r>
      <w:fldChar w:fldCharType="begin"/>
    </w:r>
    <w:r>
      <w:instrText xml:space="preserve"> PAGE  \* MERGEFORMAT </w:instrText>
    </w:r>
    <w:r>
      <w:fldChar w:fldCharType="separate"/>
    </w:r>
    <w:r w:rsidR="00B426D3">
      <w:rPr>
        <w:noProof/>
      </w:rPr>
      <w:t>3</w:t>
    </w:r>
    <w:r>
      <w:fldChar w:fldCharType="end"/>
    </w:r>
  </w:p>
  <w:p w:rsidR="00403FB5" w:rsidRPr="00AF575C" w:rsidRDefault="00403FB5" w:rsidP="00403F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3FB5" w:rsidRDefault="00403FB5" w:rsidP="00403FB5">
    <w:pPr>
      <w:pStyle w:val="bpuHeadSpon"/>
    </w:pPr>
    <w:r w:rsidRPr="00403FB5">
      <w:rPr>
        <w:rStyle w:val="bpuHeadSponChar"/>
      </w:rPr>
      <w:t>S619</w:t>
    </w:r>
    <w:r>
      <w:t xml:space="preserve"> </w:t>
    </w:r>
    <w:r w:rsidR="00887A3A">
      <w:t>[3R]</w:t>
    </w:r>
    <w:r w:rsidR="00003C1E">
      <w:t xml:space="preserve"> </w:t>
    </w:r>
    <w:r>
      <w:t>O'SCANLON</w:t>
    </w:r>
  </w:p>
  <w:p w:rsidR="00403FB5" w:rsidRDefault="00403FB5" w:rsidP="00403FB5">
    <w:pPr>
      <w:pStyle w:val="bpuHeadSpon"/>
    </w:pPr>
    <w:r>
      <w:fldChar w:fldCharType="begin"/>
    </w:r>
    <w:r>
      <w:instrText xml:space="preserve"> PAGE  \* MERGEFORMAT </w:instrText>
    </w:r>
    <w:r>
      <w:fldChar w:fldCharType="separate"/>
    </w:r>
    <w:r w:rsidR="00B426D3">
      <w:rPr>
        <w:noProof/>
      </w:rPr>
      <w:t>2</w:t>
    </w:r>
    <w:r>
      <w:fldChar w:fldCharType="end"/>
    </w:r>
  </w:p>
  <w:p w:rsidR="00403FB5" w:rsidRDefault="00403FB5" w:rsidP="0040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3C1E"/>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C93"/>
    <w:rsid w:val="000E4219"/>
    <w:rsid w:val="000E4294"/>
    <w:rsid w:val="000E5EF5"/>
    <w:rsid w:val="000F6E7F"/>
    <w:rsid w:val="000F7BFB"/>
    <w:rsid w:val="000F7FF6"/>
    <w:rsid w:val="0011462B"/>
    <w:rsid w:val="00122532"/>
    <w:rsid w:val="001265D2"/>
    <w:rsid w:val="001316C3"/>
    <w:rsid w:val="001330F6"/>
    <w:rsid w:val="00133BED"/>
    <w:rsid w:val="00136CE2"/>
    <w:rsid w:val="00140A92"/>
    <w:rsid w:val="00140FD3"/>
    <w:rsid w:val="00143A99"/>
    <w:rsid w:val="00150A42"/>
    <w:rsid w:val="00153466"/>
    <w:rsid w:val="001540B7"/>
    <w:rsid w:val="00156AE5"/>
    <w:rsid w:val="0017480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F"/>
    <w:rsid w:val="002463CF"/>
    <w:rsid w:val="00253915"/>
    <w:rsid w:val="0026254F"/>
    <w:rsid w:val="00266FB9"/>
    <w:rsid w:val="00274341"/>
    <w:rsid w:val="0028159B"/>
    <w:rsid w:val="00293B75"/>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37DBB"/>
    <w:rsid w:val="003436D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B73"/>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B2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C19"/>
    <w:rsid w:val="00585FA1"/>
    <w:rsid w:val="005866AA"/>
    <w:rsid w:val="005876F1"/>
    <w:rsid w:val="00592664"/>
    <w:rsid w:val="0059343F"/>
    <w:rsid w:val="00596B76"/>
    <w:rsid w:val="005C0288"/>
    <w:rsid w:val="005C7C01"/>
    <w:rsid w:val="005D28BC"/>
    <w:rsid w:val="005D5980"/>
    <w:rsid w:val="005E5083"/>
    <w:rsid w:val="005E5542"/>
    <w:rsid w:val="005F1C6B"/>
    <w:rsid w:val="005F6B81"/>
    <w:rsid w:val="006005C9"/>
    <w:rsid w:val="00601E45"/>
    <w:rsid w:val="00602497"/>
    <w:rsid w:val="00603129"/>
    <w:rsid w:val="00603284"/>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776"/>
    <w:rsid w:val="006F4C44"/>
    <w:rsid w:val="006F652B"/>
    <w:rsid w:val="0070018A"/>
    <w:rsid w:val="00712CBE"/>
    <w:rsid w:val="00714295"/>
    <w:rsid w:val="00730582"/>
    <w:rsid w:val="00741A09"/>
    <w:rsid w:val="00750C37"/>
    <w:rsid w:val="00752616"/>
    <w:rsid w:val="0075577B"/>
    <w:rsid w:val="00757B3B"/>
    <w:rsid w:val="00762366"/>
    <w:rsid w:val="00763B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A3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CA"/>
    <w:rsid w:val="00986E4C"/>
    <w:rsid w:val="009937ED"/>
    <w:rsid w:val="00993BCE"/>
    <w:rsid w:val="009A28BB"/>
    <w:rsid w:val="009A5E9B"/>
    <w:rsid w:val="009B0B5A"/>
    <w:rsid w:val="009B141C"/>
    <w:rsid w:val="009B5662"/>
    <w:rsid w:val="009C3EDF"/>
    <w:rsid w:val="009C6B97"/>
    <w:rsid w:val="009C76BC"/>
    <w:rsid w:val="009D0A3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7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6D3"/>
    <w:rsid w:val="00B7201D"/>
    <w:rsid w:val="00B73FB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AA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C0D"/>
    <w:rsid w:val="00F01DE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6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1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973EA-7245-4965-99B8-0CE1D4A6E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1916</Words>
  <Characters>10593</Characters>
  <Application>Microsoft Office Word</Application>
  <DocSecurity>0</DocSecurity>
  <Lines>238</Lines>
  <Paragraphs>48</Paragraphs>
  <ScaleCrop>false</ScaleCrop>
  <HeadingPairs>
    <vt:vector size="2" baseType="variant">
      <vt:variant>
        <vt:lpstr>Title</vt:lpstr>
      </vt:variant>
      <vt:variant>
        <vt:i4>1</vt:i4>
      </vt:variant>
    </vt:vector>
  </HeadingPairs>
  <TitlesOfParts>
    <vt:vector size="1" baseType="lpstr">
      <vt:lpstr>S619 3R</vt:lpstr>
    </vt:vector>
  </TitlesOfParts>
  <Manager>R229</Manager>
  <Company>OFFICE of LEGISLATIVE SERVICES</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 3R</dc:title>
  <dc:creator>Senator  O'SCANLON</dc:creator>
  <cp:keywords>S619|6|HS |263|219|122|!||</cp:keywords>
  <dc:description>PREFILED 2020_x000d_
Amended/TR 1/27/20_x000d_
Amended 3/5/20_x000d_
Amended by CV 6/3/21</dc:description>
  <cp:lastModifiedBy>Brabson, Dawn</cp:lastModifiedBy>
  <cp:revision>2</cp:revision>
  <cp:lastPrinted>2020-09-25T15:49:00Z</cp:lastPrinted>
  <dcterms:created xsi:type="dcterms:W3CDTF">2021-06-23T20:51:00Z</dcterms:created>
  <dcterms:modified xsi:type="dcterms:W3CDTF">2021-06-23T20:51:00Z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